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DBF" w14:textId="77777777" w:rsidR="002326C7" w:rsidRPr="009841A5" w:rsidRDefault="002326C7" w:rsidP="002326C7">
      <w:pPr>
        <w:pStyle w:val="NoSpacing"/>
        <w:jc w:val="center"/>
        <w:rPr>
          <w:b/>
        </w:rPr>
      </w:pPr>
      <w:r w:rsidRPr="009841A5">
        <w:rPr>
          <w:b/>
        </w:rPr>
        <w:t>NEBRASKA WESLEYAN UNIVERSITY</w:t>
      </w:r>
    </w:p>
    <w:p w14:paraId="61E3E1EF" w14:textId="77777777" w:rsidR="002326C7" w:rsidRPr="009841A5" w:rsidRDefault="002326C7" w:rsidP="002326C7">
      <w:pPr>
        <w:pStyle w:val="NoSpacing"/>
        <w:jc w:val="center"/>
        <w:rPr>
          <w:b/>
        </w:rPr>
      </w:pPr>
      <w:r w:rsidRPr="009841A5">
        <w:rPr>
          <w:b/>
        </w:rPr>
        <w:t>Institutional Review Board (NWU-IRB)</w:t>
      </w:r>
    </w:p>
    <w:p w14:paraId="7E5F6B7B" w14:textId="77777777" w:rsidR="002326C7" w:rsidRPr="009841A5" w:rsidRDefault="002326C7" w:rsidP="002326C7">
      <w:pPr>
        <w:pStyle w:val="NoSpacing"/>
        <w:jc w:val="center"/>
      </w:pPr>
      <w:r w:rsidRPr="009841A5">
        <w:t>5000 Saint Paul Avenue</w:t>
      </w:r>
      <w:r w:rsidR="009D0306" w:rsidRPr="009841A5">
        <w:t xml:space="preserve">; </w:t>
      </w:r>
      <w:r w:rsidRPr="009841A5">
        <w:t>Lincoln, Nebraska  68504</w:t>
      </w:r>
    </w:p>
    <w:p w14:paraId="2DAB4FD6" w14:textId="77777777" w:rsidR="002326C7" w:rsidRPr="009841A5" w:rsidRDefault="002326C7" w:rsidP="002326C7">
      <w:pPr>
        <w:pStyle w:val="NoSpacing"/>
        <w:jc w:val="center"/>
      </w:pPr>
      <w:r w:rsidRPr="009841A5">
        <w:t>FWA 00024370</w:t>
      </w:r>
    </w:p>
    <w:p w14:paraId="20228BDA" w14:textId="77777777" w:rsidR="002326C7" w:rsidRPr="009841A5" w:rsidRDefault="002326C7" w:rsidP="002326C7">
      <w:pPr>
        <w:pStyle w:val="NoSpacing"/>
        <w:jc w:val="center"/>
      </w:pPr>
    </w:p>
    <w:p w14:paraId="685BEC21" w14:textId="77777777" w:rsidR="002326C7" w:rsidRPr="009841A5" w:rsidRDefault="009D0306" w:rsidP="00DF359C">
      <w:pPr>
        <w:pStyle w:val="NoSpacing"/>
        <w:jc w:val="center"/>
        <w:rPr>
          <w:b/>
          <w:bCs/>
        </w:rPr>
      </w:pPr>
      <w:r w:rsidRPr="009841A5">
        <w:rPr>
          <w:b/>
        </w:rPr>
        <w:t>Categories</w:t>
      </w:r>
      <w:r w:rsidR="00E20124" w:rsidRPr="009841A5">
        <w:rPr>
          <w:b/>
        </w:rPr>
        <w:t xml:space="preserve"> for </w:t>
      </w:r>
      <w:r w:rsidR="0096568A" w:rsidRPr="009841A5">
        <w:rPr>
          <w:b/>
        </w:rPr>
        <w:t xml:space="preserve">NWU-IRB </w:t>
      </w:r>
      <w:r w:rsidR="00103A96" w:rsidRPr="009841A5">
        <w:rPr>
          <w:b/>
        </w:rPr>
        <w:t xml:space="preserve">Expedited </w:t>
      </w:r>
      <w:r w:rsidRPr="009841A5">
        <w:rPr>
          <w:b/>
        </w:rPr>
        <w:t xml:space="preserve">Protocol </w:t>
      </w:r>
      <w:r w:rsidR="0096568A" w:rsidRPr="009841A5">
        <w:rPr>
          <w:b/>
        </w:rPr>
        <w:t>Review</w:t>
      </w:r>
      <w:r w:rsidR="00DF359C" w:rsidRPr="009841A5">
        <w:rPr>
          <w:b/>
        </w:rPr>
        <w:t xml:space="preserve"> [45 CFR </w:t>
      </w:r>
      <w:r w:rsidR="00103A96" w:rsidRPr="009841A5">
        <w:rPr>
          <w:b/>
          <w:bCs/>
        </w:rPr>
        <w:t>§46</w:t>
      </w:r>
      <w:r w:rsidR="0042716E" w:rsidRPr="009841A5">
        <w:rPr>
          <w:rStyle w:val="FootnoteReference"/>
          <w:b/>
          <w:bCs/>
        </w:rPr>
        <w:footnoteReference w:id="1"/>
      </w:r>
      <w:r w:rsidR="00925BCC" w:rsidRPr="009841A5">
        <w:rPr>
          <w:b/>
          <w:bCs/>
        </w:rPr>
        <w:t xml:space="preserve"> and </w:t>
      </w:r>
      <w:r w:rsidR="00925BCC" w:rsidRPr="009841A5">
        <w:rPr>
          <w:b/>
        </w:rPr>
        <w:t>63 FR 60364-60367</w:t>
      </w:r>
      <w:r w:rsidR="00925BCC" w:rsidRPr="009841A5">
        <w:rPr>
          <w:rStyle w:val="FootnoteReference"/>
          <w:b/>
        </w:rPr>
        <w:footnoteReference w:id="2"/>
      </w:r>
      <w:r w:rsidR="00DF359C" w:rsidRPr="009841A5">
        <w:rPr>
          <w:b/>
          <w:bCs/>
        </w:rPr>
        <w:t>]</w:t>
      </w:r>
    </w:p>
    <w:p w14:paraId="297EA833" w14:textId="77777777" w:rsidR="009D0306" w:rsidRPr="009841A5" w:rsidRDefault="009D0306" w:rsidP="00DF359C">
      <w:pPr>
        <w:pStyle w:val="NoSpacing"/>
        <w:jc w:val="center"/>
      </w:pPr>
    </w:p>
    <w:p w14:paraId="7B0769D1" w14:textId="77777777" w:rsidR="00133CD0" w:rsidRPr="009841A5" w:rsidRDefault="00133CD0" w:rsidP="00133CD0">
      <w:pPr>
        <w:pStyle w:val="NoSpacing"/>
        <w:rPr>
          <w:b/>
          <w:bCs/>
        </w:rPr>
      </w:pPr>
      <w:r w:rsidRPr="009841A5">
        <w:rPr>
          <w:b/>
          <w:bCs/>
        </w:rPr>
        <w:t xml:space="preserve">Research projects that </w:t>
      </w:r>
      <w:r w:rsidR="00E20124" w:rsidRPr="009841A5">
        <w:rPr>
          <w:b/>
          <w:bCs/>
        </w:rPr>
        <w:t>have not met one of the categories for exemption from IRB review but which present no more than minimal risk to the research participants</w:t>
      </w:r>
      <w:r w:rsidR="00E20124" w:rsidRPr="009841A5">
        <w:rPr>
          <w:rStyle w:val="FootnoteReference"/>
          <w:b/>
          <w:bCs/>
        </w:rPr>
        <w:footnoteReference w:id="3"/>
      </w:r>
      <w:r w:rsidR="00E20124" w:rsidRPr="009841A5">
        <w:t xml:space="preserve"> </w:t>
      </w:r>
      <w:r w:rsidR="00E20124" w:rsidRPr="009841A5">
        <w:rPr>
          <w:b/>
          <w:bCs/>
        </w:rPr>
        <w:t xml:space="preserve"> will likely fall under the category of EXPEDITED REVIEW (as noted by </w:t>
      </w:r>
      <w:r w:rsidR="00E20124" w:rsidRPr="009841A5">
        <w:rPr>
          <w:b/>
        </w:rPr>
        <w:t>(45 CFR §46.110 and 63 FR 60364-60367).</w:t>
      </w:r>
    </w:p>
    <w:p w14:paraId="66736717" w14:textId="77777777" w:rsidR="00E20124" w:rsidRPr="009841A5" w:rsidRDefault="00E20124" w:rsidP="00133CD0">
      <w:pPr>
        <w:pStyle w:val="NoSpacing"/>
        <w:rPr>
          <w:b/>
          <w:bCs/>
        </w:rPr>
      </w:pPr>
    </w:p>
    <w:p w14:paraId="7446DA68" w14:textId="77777777" w:rsidR="00103A96" w:rsidRPr="009841A5" w:rsidRDefault="00925BCC" w:rsidP="00103A96">
      <w:pPr>
        <w:pStyle w:val="NoSpacing"/>
      </w:pPr>
      <w:r w:rsidRPr="009841A5">
        <w:rPr>
          <w:bCs/>
        </w:rPr>
        <w:t>T</w:t>
      </w:r>
      <w:r w:rsidR="00133CD0" w:rsidRPr="009841A5">
        <w:t xml:space="preserve">he Principal Investigator (PI) must complete the </w:t>
      </w:r>
      <w:r w:rsidR="009D0306" w:rsidRPr="009841A5">
        <w:rPr>
          <w:bCs/>
          <w:i/>
        </w:rPr>
        <w:t>Application for</w:t>
      </w:r>
      <w:r w:rsidR="00133CD0" w:rsidRPr="009841A5">
        <w:rPr>
          <w:bCs/>
          <w:i/>
        </w:rPr>
        <w:t xml:space="preserve"> </w:t>
      </w:r>
      <w:r w:rsidR="0096568A" w:rsidRPr="009841A5">
        <w:rPr>
          <w:bCs/>
          <w:i/>
        </w:rPr>
        <w:t>NWU-I</w:t>
      </w:r>
      <w:r w:rsidR="00133CD0" w:rsidRPr="009841A5">
        <w:rPr>
          <w:bCs/>
          <w:i/>
        </w:rPr>
        <w:t xml:space="preserve">RB </w:t>
      </w:r>
      <w:r w:rsidR="009D0306" w:rsidRPr="009841A5">
        <w:rPr>
          <w:bCs/>
          <w:i/>
        </w:rPr>
        <w:t xml:space="preserve">Protocol </w:t>
      </w:r>
      <w:r w:rsidR="00133CD0" w:rsidRPr="009841A5">
        <w:rPr>
          <w:bCs/>
          <w:i/>
        </w:rPr>
        <w:t>Review</w:t>
      </w:r>
      <w:r w:rsidR="00EC517A" w:rsidRPr="009841A5">
        <w:rPr>
          <w:bCs/>
        </w:rPr>
        <w:t xml:space="preserve"> and clarify that the research project poses no more than minimal risk to the research participants</w:t>
      </w:r>
      <w:r w:rsidRPr="009841A5">
        <w:rPr>
          <w:bCs/>
        </w:rPr>
        <w:t xml:space="preserve"> and make note of the specific category of review on their application.</w:t>
      </w:r>
    </w:p>
    <w:p w14:paraId="5D35CE0D" w14:textId="77777777" w:rsidR="00103A96" w:rsidRPr="009841A5" w:rsidRDefault="00103A96" w:rsidP="0096568A">
      <w:pPr>
        <w:pStyle w:val="NoSpacing"/>
        <w:ind w:firstLine="720"/>
      </w:pPr>
    </w:p>
    <w:p w14:paraId="742EB5BE" w14:textId="77777777" w:rsidR="00E20124" w:rsidRPr="009841A5" w:rsidRDefault="0096568A" w:rsidP="00925BCC">
      <w:pPr>
        <w:pStyle w:val="NoSpacing"/>
      </w:pPr>
      <w:r w:rsidRPr="009841A5">
        <w:t>If the PI is a student, the i</w:t>
      </w:r>
      <w:r w:rsidR="00133CD0" w:rsidRPr="009841A5">
        <w:t>nitial determination will be made by the student’s research advisor. Final determination as to whet</w:t>
      </w:r>
      <w:r w:rsidR="00925BCC" w:rsidRPr="009841A5">
        <w:t>her a research project is expedited</w:t>
      </w:r>
      <w:r w:rsidR="00133CD0" w:rsidRPr="009841A5">
        <w:t xml:space="preserve"> rests with the </w:t>
      </w:r>
      <w:r w:rsidRPr="009841A5">
        <w:t>NWU-I</w:t>
      </w:r>
      <w:r w:rsidR="00133CD0" w:rsidRPr="009841A5">
        <w:t xml:space="preserve">RB. An IRB Co-Chair, or his/her designee, may review individually </w:t>
      </w:r>
      <w:r w:rsidR="00133CD0" w:rsidRPr="009841A5">
        <w:rPr>
          <w:i/>
        </w:rPr>
        <w:t xml:space="preserve">Applications for Exemption from </w:t>
      </w:r>
      <w:r w:rsidRPr="009841A5">
        <w:rPr>
          <w:i/>
        </w:rPr>
        <w:t>NWU-</w:t>
      </w:r>
      <w:r w:rsidR="00133CD0" w:rsidRPr="009841A5">
        <w:rPr>
          <w:i/>
        </w:rPr>
        <w:t>RRB Review</w:t>
      </w:r>
      <w:r w:rsidR="00133CD0" w:rsidRPr="009841A5">
        <w:t>.</w:t>
      </w:r>
    </w:p>
    <w:p w14:paraId="3EFF1EE1" w14:textId="77777777" w:rsidR="00E20124" w:rsidRPr="009841A5" w:rsidRDefault="00E20124" w:rsidP="00E20124">
      <w:pPr>
        <w:pStyle w:val="NoSpacing"/>
      </w:pPr>
    </w:p>
    <w:p w14:paraId="5C506418" w14:textId="77777777" w:rsidR="00E20124" w:rsidRPr="009841A5" w:rsidRDefault="00E20124" w:rsidP="00E20124">
      <w:pPr>
        <w:pStyle w:val="NoSpacing"/>
        <w:rPr>
          <w:b/>
        </w:rPr>
      </w:pPr>
      <w:r w:rsidRPr="009841A5">
        <w:rPr>
          <w:b/>
        </w:rPr>
        <w:t xml:space="preserve">Applicability </w:t>
      </w:r>
    </w:p>
    <w:p w14:paraId="131CDC11" w14:textId="77777777" w:rsidR="00E20124" w:rsidRPr="009841A5" w:rsidRDefault="00E20124" w:rsidP="00E20124">
      <w:pPr>
        <w:pStyle w:val="NoSpacing"/>
        <w:numPr>
          <w:ilvl w:val="0"/>
          <w:numId w:val="19"/>
        </w:numPr>
      </w:pPr>
      <w:r w:rsidRPr="009841A5">
        <w:t xml:space="preserve">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 </w:t>
      </w:r>
    </w:p>
    <w:p w14:paraId="55332881" w14:textId="77777777" w:rsidR="00E20124" w:rsidRPr="009841A5" w:rsidRDefault="00E20124" w:rsidP="00E20124">
      <w:pPr>
        <w:pStyle w:val="NoSpacing"/>
        <w:numPr>
          <w:ilvl w:val="0"/>
          <w:numId w:val="19"/>
        </w:numPr>
      </w:pPr>
      <w:r w:rsidRPr="009841A5">
        <w:t xml:space="preserve">The categories in this list apply regardless of the age of subjects, except as noted. </w:t>
      </w:r>
    </w:p>
    <w:p w14:paraId="26A5BCC6" w14:textId="77777777" w:rsidR="00E20124" w:rsidRPr="009841A5" w:rsidRDefault="00E20124" w:rsidP="00E20124">
      <w:pPr>
        <w:pStyle w:val="NoSpacing"/>
        <w:numPr>
          <w:ilvl w:val="0"/>
          <w:numId w:val="19"/>
        </w:numPr>
      </w:pPr>
      <w:r w:rsidRPr="009841A5">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14:paraId="3F47BE96" w14:textId="77777777" w:rsidR="00E20124" w:rsidRPr="009841A5" w:rsidRDefault="00E20124" w:rsidP="00E20124">
      <w:pPr>
        <w:pStyle w:val="NoSpacing"/>
        <w:numPr>
          <w:ilvl w:val="0"/>
          <w:numId w:val="19"/>
        </w:numPr>
      </w:pPr>
      <w:r w:rsidRPr="009841A5">
        <w:t xml:space="preserve">The expedited review procedure may not be used for classified research involving human subjects. </w:t>
      </w:r>
    </w:p>
    <w:p w14:paraId="3E676559" w14:textId="77777777" w:rsidR="00E20124" w:rsidRPr="009841A5" w:rsidRDefault="00E20124" w:rsidP="00E20124">
      <w:pPr>
        <w:pStyle w:val="NoSpacing"/>
        <w:numPr>
          <w:ilvl w:val="0"/>
          <w:numId w:val="19"/>
        </w:numPr>
      </w:pPr>
      <w:r w:rsidRPr="009841A5">
        <w:t xml:space="preserve">IRBs are reminded that the standard requirements for informed consent (or its waiver alteration, or exception) apply regardless of the type of review utilized, whether expedited review or full review. </w:t>
      </w:r>
    </w:p>
    <w:p w14:paraId="1FA7CD8B" w14:textId="77777777" w:rsidR="00E20124" w:rsidRPr="009841A5" w:rsidRDefault="00E20124" w:rsidP="00E20124">
      <w:pPr>
        <w:pStyle w:val="NoSpacing"/>
        <w:numPr>
          <w:ilvl w:val="0"/>
          <w:numId w:val="19"/>
        </w:numPr>
      </w:pPr>
      <w:r w:rsidRPr="009841A5">
        <w:t xml:space="preserve">Categories one (1) through seven (7) pertain to both initial review and continuing IRB review. </w:t>
      </w:r>
    </w:p>
    <w:p w14:paraId="0385088B" w14:textId="77777777" w:rsidR="00E20124" w:rsidRPr="009841A5" w:rsidRDefault="00E20124" w:rsidP="00E20124">
      <w:pPr>
        <w:pStyle w:val="NoSpacing"/>
      </w:pPr>
    </w:p>
    <w:p w14:paraId="21A57512" w14:textId="77777777" w:rsidR="0075403B" w:rsidRDefault="0075403B">
      <w:pPr>
        <w:rPr>
          <w:b/>
          <w:bCs/>
          <w:u w:val="single"/>
        </w:rPr>
      </w:pPr>
      <w:r>
        <w:rPr>
          <w:b/>
          <w:bCs/>
          <w:u w:val="single"/>
        </w:rPr>
        <w:br w:type="page"/>
      </w:r>
    </w:p>
    <w:p w14:paraId="6388EC55" w14:textId="77777777" w:rsidR="00925BCC" w:rsidRPr="009841A5" w:rsidRDefault="00925BCC" w:rsidP="00925BCC">
      <w:pPr>
        <w:pStyle w:val="NoSpacing"/>
        <w:rPr>
          <w:b/>
          <w:u w:val="single"/>
        </w:rPr>
      </w:pPr>
      <w:r w:rsidRPr="009841A5">
        <w:rPr>
          <w:b/>
          <w:bCs/>
          <w:u w:val="single"/>
        </w:rPr>
        <w:lastRenderedPageBreak/>
        <w:t>CATEGORIES OF RESEARCH THAT MAY BE REVIEWED THROUGH AN EXPEDITED REVIEW PROCEDURE:</w:t>
      </w:r>
      <w:r w:rsidRPr="009841A5">
        <w:rPr>
          <w:b/>
          <w:bCs/>
          <w:u w:val="single"/>
          <w:vertAlign w:val="superscript"/>
        </w:rPr>
        <w:t xml:space="preserve"> </w:t>
      </w:r>
    </w:p>
    <w:p w14:paraId="16DF6CF2" w14:textId="77777777" w:rsidR="00E20124" w:rsidRPr="009841A5" w:rsidRDefault="00E20124" w:rsidP="00E20124">
      <w:pPr>
        <w:pStyle w:val="NoSpacing"/>
        <w:rPr>
          <w:b/>
        </w:rPr>
      </w:pPr>
    </w:p>
    <w:p w14:paraId="14634141" w14:textId="77777777" w:rsidR="00E20124" w:rsidRPr="009841A5" w:rsidRDefault="00925BCC" w:rsidP="00E20124">
      <w:pPr>
        <w:pStyle w:val="NoSpacing"/>
        <w:rPr>
          <w:b/>
        </w:rPr>
      </w:pPr>
      <w:r w:rsidRPr="009841A5">
        <w:rPr>
          <w:b/>
        </w:rPr>
        <w:t>(NOTE: NWU DOES NOT SUPPORT RESEARCH PROJECTS IN CATEGORY 1)</w:t>
      </w:r>
    </w:p>
    <w:p w14:paraId="3ECB1D13" w14:textId="77777777" w:rsidR="00E20124" w:rsidRPr="009841A5" w:rsidRDefault="00E20124" w:rsidP="00E20124">
      <w:pPr>
        <w:pStyle w:val="NoSpacing"/>
        <w:rPr>
          <w:b/>
        </w:rPr>
      </w:pPr>
    </w:p>
    <w:p w14:paraId="1127402A" w14:textId="77777777" w:rsidR="00E20124" w:rsidRPr="009841A5" w:rsidRDefault="00E20124" w:rsidP="00925BCC">
      <w:pPr>
        <w:pStyle w:val="NoSpacing"/>
        <w:ind w:left="720" w:hanging="720"/>
      </w:pPr>
      <w:r w:rsidRPr="009841A5">
        <w:t>1.</w:t>
      </w:r>
      <w:r w:rsidRPr="009841A5">
        <w:tab/>
        <w:t>Clinical studies of drugs and medical devices only when condition (a) or (b) is met.</w:t>
      </w:r>
    </w:p>
    <w:p w14:paraId="29D55211" w14:textId="77777777" w:rsidR="00E20124" w:rsidRPr="009841A5" w:rsidRDefault="00E20124" w:rsidP="00E20124">
      <w:pPr>
        <w:pStyle w:val="NoSpacing"/>
      </w:pPr>
    </w:p>
    <w:p w14:paraId="77BA2299" w14:textId="77777777" w:rsidR="00925BCC" w:rsidRPr="009841A5" w:rsidRDefault="00E20124" w:rsidP="00925BCC">
      <w:pPr>
        <w:pStyle w:val="NoSpacing"/>
        <w:ind w:left="1080" w:hanging="360"/>
      </w:pPr>
      <w:r w:rsidRPr="009841A5">
        <w:t xml:space="preserve">a. </w:t>
      </w:r>
      <w:r w:rsidR="00925BCC" w:rsidRPr="009841A5">
        <w:tab/>
      </w:r>
      <w:r w:rsidRPr="009841A5">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r w:rsidR="00925BCC" w:rsidRPr="009841A5">
        <w:t xml:space="preserve"> </w:t>
      </w:r>
    </w:p>
    <w:p w14:paraId="3ACE5246" w14:textId="77777777" w:rsidR="00E20124" w:rsidRPr="009841A5" w:rsidRDefault="00925BCC" w:rsidP="00925BCC">
      <w:pPr>
        <w:pStyle w:val="NoSpacing"/>
        <w:ind w:left="1080" w:hanging="360"/>
      </w:pPr>
      <w:r w:rsidRPr="009841A5">
        <w:t>b</w:t>
      </w:r>
      <w:r w:rsidR="00E20124" w:rsidRPr="009841A5">
        <w:t>.</w:t>
      </w:r>
      <w:r w:rsidR="00E20124" w:rsidRPr="009841A5">
        <w:tab/>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183729AA" w14:textId="77777777" w:rsidR="00E20124" w:rsidRPr="009841A5" w:rsidRDefault="00E20124" w:rsidP="00E20124">
      <w:pPr>
        <w:pStyle w:val="NoSpacing"/>
      </w:pPr>
      <w:r w:rsidRPr="009841A5">
        <w:t xml:space="preserve">    </w:t>
      </w:r>
    </w:p>
    <w:p w14:paraId="17461742" w14:textId="77777777" w:rsidR="00E20124" w:rsidRPr="009841A5" w:rsidRDefault="00E20124" w:rsidP="00925BCC">
      <w:pPr>
        <w:pStyle w:val="NoSpacing"/>
        <w:ind w:left="720" w:hanging="720"/>
      </w:pPr>
      <w:r w:rsidRPr="009841A5">
        <w:t xml:space="preserve">2. </w:t>
      </w:r>
      <w:r w:rsidRPr="009841A5">
        <w:tab/>
        <w:t>Collection of blood samples by finger stick, heel stick, ear stick, or venipuncture as follows:</w:t>
      </w:r>
    </w:p>
    <w:p w14:paraId="76F6F0CD" w14:textId="77777777" w:rsidR="00E20124" w:rsidRPr="009841A5" w:rsidRDefault="00E20124" w:rsidP="00E20124">
      <w:pPr>
        <w:pStyle w:val="NoSpacing"/>
      </w:pPr>
    </w:p>
    <w:p w14:paraId="7A80E0A8" w14:textId="77777777" w:rsidR="00925BCC" w:rsidRPr="009841A5" w:rsidRDefault="00E20124" w:rsidP="00925BCC">
      <w:pPr>
        <w:pStyle w:val="NoSpacing"/>
        <w:ind w:left="1080" w:hanging="360"/>
      </w:pPr>
      <w:r w:rsidRPr="009841A5">
        <w:t xml:space="preserve">a. </w:t>
      </w:r>
      <w:r w:rsidR="00925BCC" w:rsidRPr="009841A5">
        <w:tab/>
      </w:r>
      <w:r w:rsidRPr="009841A5">
        <w:t>from healthy, nonpregnant adults who weigh at least 110 pounds. For these subjects, the amounts drawn may not exceed 550 ml in an 8 week period and collection may not occur more frequently than 2 times per week; or</w:t>
      </w:r>
      <w:r w:rsidR="00925BCC" w:rsidRPr="009841A5">
        <w:t xml:space="preserve"> </w:t>
      </w:r>
    </w:p>
    <w:p w14:paraId="3D37745C" w14:textId="77777777" w:rsidR="00E20124" w:rsidRPr="009841A5" w:rsidRDefault="00E20124" w:rsidP="00925BCC">
      <w:pPr>
        <w:pStyle w:val="NoSpacing"/>
        <w:ind w:left="1080" w:hanging="360"/>
      </w:pPr>
      <w:r w:rsidRPr="009841A5">
        <w:t>b.</w:t>
      </w:r>
      <w:r w:rsidRPr="009841A5">
        <w:tab/>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1377B37C" w14:textId="77777777" w:rsidR="00E20124" w:rsidRPr="009841A5" w:rsidRDefault="00E20124" w:rsidP="00E20124">
      <w:pPr>
        <w:pStyle w:val="NoSpacing"/>
      </w:pPr>
    </w:p>
    <w:p w14:paraId="722D4927" w14:textId="77777777" w:rsidR="00E20124" w:rsidRPr="009841A5" w:rsidRDefault="00E20124" w:rsidP="00925BCC">
      <w:pPr>
        <w:pStyle w:val="NoSpacing"/>
        <w:ind w:left="720" w:hanging="720"/>
      </w:pPr>
      <w:r w:rsidRPr="009841A5">
        <w:t xml:space="preserve">3. </w:t>
      </w:r>
      <w:r w:rsidRPr="009841A5">
        <w:tab/>
        <w:t>Prospective collection of biological specimens for research purposes by noninvasive means.</w:t>
      </w:r>
    </w:p>
    <w:p w14:paraId="4E5C4458" w14:textId="77777777" w:rsidR="00E20124" w:rsidRPr="009841A5" w:rsidRDefault="00E20124" w:rsidP="00E20124">
      <w:pPr>
        <w:pStyle w:val="NoSpacing"/>
      </w:pPr>
    </w:p>
    <w:p w14:paraId="44B6C274" w14:textId="77777777" w:rsidR="00E20124" w:rsidRPr="009841A5" w:rsidRDefault="00E20124" w:rsidP="00925BCC">
      <w:pPr>
        <w:pStyle w:val="NoSpacing"/>
        <w:ind w:left="720" w:right="1188"/>
      </w:pPr>
      <w:r w:rsidRPr="009841A5">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324EB7DB" w14:textId="77777777" w:rsidR="00E20124" w:rsidRPr="009841A5" w:rsidRDefault="00E20124" w:rsidP="00E20124">
      <w:pPr>
        <w:pStyle w:val="NoSpacing"/>
      </w:pPr>
    </w:p>
    <w:p w14:paraId="10F00CA0" w14:textId="77777777" w:rsidR="00E20124" w:rsidRPr="009841A5" w:rsidRDefault="00E20124" w:rsidP="00925BCC">
      <w:pPr>
        <w:pStyle w:val="NoSpacing"/>
        <w:ind w:left="720" w:hanging="720"/>
      </w:pPr>
      <w:r w:rsidRPr="009841A5">
        <w:t xml:space="preserve">4. </w:t>
      </w:r>
      <w:r w:rsidRPr="009841A5">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4211536" w14:textId="77777777" w:rsidR="00E20124" w:rsidRPr="009841A5" w:rsidRDefault="00E20124" w:rsidP="00E20124">
      <w:pPr>
        <w:pStyle w:val="NoSpacing"/>
      </w:pPr>
    </w:p>
    <w:p w14:paraId="6437B692" w14:textId="77777777" w:rsidR="00E20124" w:rsidRPr="009841A5" w:rsidRDefault="00E20124" w:rsidP="00925BCC">
      <w:pPr>
        <w:pStyle w:val="NoSpacing"/>
        <w:ind w:left="720"/>
      </w:pPr>
      <w:r w:rsidRPr="009841A5">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4863E5D7" w14:textId="77777777" w:rsidR="00E20124" w:rsidRPr="009841A5" w:rsidRDefault="00E20124" w:rsidP="00E20124">
      <w:pPr>
        <w:pStyle w:val="NoSpacing"/>
      </w:pPr>
      <w:r w:rsidRPr="009841A5">
        <w:lastRenderedPageBreak/>
        <w:t xml:space="preserve">   </w:t>
      </w:r>
    </w:p>
    <w:p w14:paraId="3B754B0A" w14:textId="77777777" w:rsidR="00E20124" w:rsidRPr="009841A5" w:rsidRDefault="00E20124" w:rsidP="00925BCC">
      <w:pPr>
        <w:pStyle w:val="NoSpacing"/>
        <w:ind w:left="720" w:hanging="720"/>
      </w:pPr>
      <w:r w:rsidRPr="009841A5">
        <w:t xml:space="preserve">5. </w:t>
      </w:r>
      <w:r w:rsidRPr="009841A5">
        <w:tab/>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hyperlink r:id="rId11" w:history="1">
        <w:r w:rsidRPr="009841A5">
          <w:rPr>
            <w:rStyle w:val="Hyperlink"/>
          </w:rPr>
          <w:t>45 CFR §46.101(b)(4)</w:t>
        </w:r>
      </w:hyperlink>
      <w:r w:rsidRPr="009841A5">
        <w:t>. This listing refers only to research that is not exempt.]</w:t>
      </w:r>
    </w:p>
    <w:p w14:paraId="1DCC819F" w14:textId="77777777" w:rsidR="00E20124" w:rsidRPr="009841A5" w:rsidRDefault="00E20124" w:rsidP="00E20124">
      <w:pPr>
        <w:pStyle w:val="NoSpacing"/>
      </w:pPr>
      <w:r w:rsidRPr="009841A5">
        <w:t xml:space="preserve">    </w:t>
      </w:r>
    </w:p>
    <w:p w14:paraId="49957313" w14:textId="77777777" w:rsidR="00E20124" w:rsidRPr="009841A5" w:rsidRDefault="00E20124" w:rsidP="00925BCC">
      <w:pPr>
        <w:pStyle w:val="NoSpacing"/>
        <w:ind w:left="720" w:hanging="720"/>
      </w:pPr>
      <w:r w:rsidRPr="009841A5">
        <w:t xml:space="preserve">6. </w:t>
      </w:r>
      <w:r w:rsidRPr="009841A5">
        <w:tab/>
        <w:t>Collection of data from voice, video, digital, or image recordings made for research purposes.</w:t>
      </w:r>
    </w:p>
    <w:p w14:paraId="056C703B" w14:textId="77777777" w:rsidR="00E20124" w:rsidRPr="009841A5" w:rsidRDefault="00E20124" w:rsidP="00E20124">
      <w:pPr>
        <w:pStyle w:val="NoSpacing"/>
      </w:pPr>
      <w:r w:rsidRPr="009841A5">
        <w:t xml:space="preserve">    </w:t>
      </w:r>
    </w:p>
    <w:p w14:paraId="2C1A301F" w14:textId="77777777" w:rsidR="00E20124" w:rsidRPr="009841A5" w:rsidRDefault="00E20124" w:rsidP="00925BCC">
      <w:pPr>
        <w:pStyle w:val="NoSpacing"/>
        <w:ind w:left="720" w:hanging="720"/>
      </w:pPr>
      <w:r w:rsidRPr="009841A5">
        <w:t xml:space="preserve">7. </w:t>
      </w:r>
      <w:r w:rsidRPr="009841A5">
        <w:tab/>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12" w:history="1">
        <w:r w:rsidRPr="009841A5">
          <w:rPr>
            <w:rStyle w:val="Hyperlink"/>
          </w:rPr>
          <w:t>45 CFR §46.101(b)(2)</w:t>
        </w:r>
      </w:hyperlink>
      <w:r w:rsidRPr="009841A5">
        <w:t xml:space="preserve"> and (b)(3). This listing refers only to research that is not exempt.)</w:t>
      </w:r>
    </w:p>
    <w:p w14:paraId="03B4E0F1" w14:textId="77777777" w:rsidR="00E20124" w:rsidRPr="009841A5" w:rsidRDefault="00E20124" w:rsidP="00E20124">
      <w:pPr>
        <w:pStyle w:val="NoSpacing"/>
      </w:pPr>
    </w:p>
    <w:p w14:paraId="4D26428F" w14:textId="77777777" w:rsidR="00E20124" w:rsidRPr="009841A5" w:rsidRDefault="00E20124" w:rsidP="00E20124">
      <w:pPr>
        <w:pStyle w:val="NoSpacing"/>
      </w:pPr>
      <w:r w:rsidRPr="009841A5">
        <w:t xml:space="preserve">8. </w:t>
      </w:r>
      <w:r w:rsidRPr="009841A5">
        <w:tab/>
        <w:t>Continuing review of research previously approved by the convened IRB as follows:</w:t>
      </w:r>
    </w:p>
    <w:p w14:paraId="4FD44CF4" w14:textId="77777777" w:rsidR="00E20124" w:rsidRPr="009841A5" w:rsidRDefault="00E20124" w:rsidP="00E20124">
      <w:pPr>
        <w:pStyle w:val="NoSpacing"/>
      </w:pPr>
    </w:p>
    <w:p w14:paraId="1E9900CA" w14:textId="77777777" w:rsidR="00925BCC" w:rsidRPr="009841A5" w:rsidRDefault="00E20124" w:rsidP="00925BCC">
      <w:pPr>
        <w:pStyle w:val="NoSpacing"/>
        <w:ind w:left="1080" w:hanging="360"/>
      </w:pPr>
      <w:r w:rsidRPr="009841A5">
        <w:t xml:space="preserve">a. </w:t>
      </w:r>
      <w:r w:rsidRPr="009841A5">
        <w:tab/>
        <w:t>where (i) the research is permanently closed to the enrollment of new subjects; (ii) all subjects have completed all research-related interventions; and (iii) the research remains active only for long-term follow-up of subjects; or</w:t>
      </w:r>
    </w:p>
    <w:p w14:paraId="6EBFF82F" w14:textId="77777777" w:rsidR="00925BCC" w:rsidRPr="009841A5" w:rsidRDefault="00E20124" w:rsidP="00925BCC">
      <w:pPr>
        <w:pStyle w:val="NoSpacing"/>
        <w:ind w:left="1080" w:hanging="360"/>
      </w:pPr>
      <w:r w:rsidRPr="009841A5">
        <w:t xml:space="preserve">b. </w:t>
      </w:r>
      <w:r w:rsidRPr="009841A5">
        <w:tab/>
        <w:t xml:space="preserve">where no subjects have been enrolled and no additional risks have been identified; or </w:t>
      </w:r>
    </w:p>
    <w:p w14:paraId="55A102C2" w14:textId="77777777" w:rsidR="00E20124" w:rsidRPr="009841A5" w:rsidRDefault="00E20124" w:rsidP="00925BCC">
      <w:pPr>
        <w:pStyle w:val="NoSpacing"/>
        <w:ind w:left="1080" w:hanging="360"/>
      </w:pPr>
      <w:r w:rsidRPr="009841A5">
        <w:t>c.</w:t>
      </w:r>
      <w:r w:rsidRPr="009841A5">
        <w:tab/>
        <w:t>where the remaining research activities are limited to data analysis.</w:t>
      </w:r>
    </w:p>
    <w:p w14:paraId="1CF3A4AB" w14:textId="77777777" w:rsidR="00E20124" w:rsidRPr="009841A5" w:rsidRDefault="00E20124" w:rsidP="00E20124">
      <w:pPr>
        <w:pStyle w:val="NoSpacing"/>
      </w:pPr>
    </w:p>
    <w:p w14:paraId="4A0105F1" w14:textId="77777777" w:rsidR="00E20124" w:rsidRPr="009841A5" w:rsidRDefault="00E20124" w:rsidP="00925BCC">
      <w:pPr>
        <w:pStyle w:val="NoSpacing"/>
        <w:ind w:left="720" w:hanging="720"/>
      </w:pPr>
      <w:r w:rsidRPr="009841A5">
        <w:t xml:space="preserve">9. </w:t>
      </w:r>
      <w:r w:rsidRPr="009841A5">
        <w:tab/>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244DD5E1" w14:textId="77777777" w:rsidR="00133CD0" w:rsidRPr="009841A5" w:rsidRDefault="00133CD0" w:rsidP="00133CD0">
      <w:pPr>
        <w:pStyle w:val="NoSpacing"/>
      </w:pPr>
    </w:p>
    <w:p w14:paraId="5912DEB8" w14:textId="77777777" w:rsidR="000873DF" w:rsidRPr="009841A5" w:rsidRDefault="000873DF" w:rsidP="00133CD0">
      <w:pPr>
        <w:pStyle w:val="NoSpacing"/>
        <w:rPr>
          <w:b/>
          <w:bCs/>
        </w:rPr>
      </w:pPr>
    </w:p>
    <w:p w14:paraId="43F72BB5" w14:textId="77777777" w:rsidR="00133CD0" w:rsidRPr="009841A5" w:rsidRDefault="0042716E" w:rsidP="00133CD0">
      <w:pPr>
        <w:pStyle w:val="NoSpacing"/>
        <w:rPr>
          <w:b/>
          <w:bCs/>
        </w:rPr>
      </w:pPr>
      <w:r w:rsidRPr="009841A5">
        <w:rPr>
          <w:b/>
          <w:bCs/>
        </w:rPr>
        <w:t>NOTE: STUDENT INITIATED RESEARCH</w:t>
      </w:r>
    </w:p>
    <w:p w14:paraId="7C54AA0C" w14:textId="77777777" w:rsidR="0042716E" w:rsidRPr="009841A5" w:rsidRDefault="0042716E" w:rsidP="00133CD0">
      <w:pPr>
        <w:pStyle w:val="NoSpacing"/>
        <w:rPr>
          <w:b/>
          <w:bCs/>
        </w:rPr>
      </w:pPr>
    </w:p>
    <w:p w14:paraId="570C92C2" w14:textId="77777777" w:rsidR="00D50872" w:rsidRPr="009841A5" w:rsidRDefault="00133CD0" w:rsidP="00133CD0">
      <w:pPr>
        <w:pStyle w:val="NoSpacing"/>
      </w:pPr>
      <w:r w:rsidRPr="009841A5">
        <w:t xml:space="preserve">All </w:t>
      </w:r>
      <w:r w:rsidR="0096568A" w:rsidRPr="009841A5">
        <w:t>NWU-IRB</w:t>
      </w:r>
      <w:r w:rsidRPr="009841A5">
        <w:t xml:space="preserve"> applications arising from student research will first be submitted to the student's</w:t>
      </w:r>
      <w:r w:rsidR="00D50872" w:rsidRPr="009841A5">
        <w:t xml:space="preserve"> research advisor. Following that,</w:t>
      </w:r>
      <w:r w:rsidRPr="009841A5">
        <w:t xml:space="preserve"> the procedure will be the same as for faculty</w:t>
      </w:r>
      <w:bookmarkStart w:id="0" w:name="_GoBack"/>
      <w:bookmarkEnd w:id="0"/>
      <w:r w:rsidRPr="009841A5">
        <w:t>/staff research</w:t>
      </w:r>
      <w:r w:rsidR="00D50872" w:rsidRPr="009841A5">
        <w:t xml:space="preserve">.  </w:t>
      </w:r>
      <w:r w:rsidR="00D50872" w:rsidRPr="009841A5">
        <w:rPr>
          <w:b/>
        </w:rPr>
        <w:t>O</w:t>
      </w:r>
      <w:r w:rsidR="00D50872" w:rsidRPr="009841A5">
        <w:rPr>
          <w:b/>
          <w:bCs/>
        </w:rPr>
        <w:t>ne electronic file</w:t>
      </w:r>
      <w:r w:rsidRPr="009841A5">
        <w:rPr>
          <w:b/>
          <w:bCs/>
        </w:rPr>
        <w:t xml:space="preserve"> </w:t>
      </w:r>
      <w:r w:rsidR="00D50872" w:rsidRPr="009841A5">
        <w:rPr>
          <w:b/>
          <w:bCs/>
        </w:rPr>
        <w:t xml:space="preserve">(PDF format) including the application and all supporting documents </w:t>
      </w:r>
      <w:r w:rsidR="00D50872" w:rsidRPr="009841A5">
        <w:rPr>
          <w:bCs/>
        </w:rPr>
        <w:t xml:space="preserve">will be </w:t>
      </w:r>
      <w:r w:rsidRPr="009841A5">
        <w:rPr>
          <w:bCs/>
        </w:rPr>
        <w:t>submitted</w:t>
      </w:r>
      <w:r w:rsidRPr="009841A5">
        <w:t xml:space="preserve"> to </w:t>
      </w:r>
      <w:r w:rsidR="00D50872" w:rsidRPr="009841A5">
        <w:t xml:space="preserve">NWU-IRB Coordinator, </w:t>
      </w:r>
      <w:r w:rsidR="004F35C3">
        <w:t>Stephanie Plummer</w:t>
      </w:r>
      <w:r w:rsidRPr="009841A5">
        <w:t xml:space="preserve">, </w:t>
      </w:r>
      <w:hyperlink r:id="rId13" w:history="1">
        <w:r w:rsidR="004F35C3" w:rsidRPr="006C7946">
          <w:rPr>
            <w:rStyle w:val="Hyperlink"/>
          </w:rPr>
          <w:t>splummer@nebrwesleyan.edu</w:t>
        </w:r>
      </w:hyperlink>
      <w:r w:rsidRPr="009841A5">
        <w:t xml:space="preserve">.  </w:t>
      </w:r>
    </w:p>
    <w:p w14:paraId="1866F4D2" w14:textId="77777777" w:rsidR="00D50872" w:rsidRPr="009841A5" w:rsidRDefault="00D50872" w:rsidP="00133CD0">
      <w:pPr>
        <w:pStyle w:val="NoSpacing"/>
      </w:pPr>
    </w:p>
    <w:p w14:paraId="40CAD5AF" w14:textId="77777777" w:rsidR="00133CD0" w:rsidRPr="009841A5" w:rsidRDefault="00D50872" w:rsidP="00133CD0">
      <w:pPr>
        <w:pStyle w:val="NoSpacing"/>
      </w:pPr>
      <w:r w:rsidRPr="009841A5">
        <w:t>For student projects, a</w:t>
      </w:r>
      <w:r w:rsidR="00133CD0" w:rsidRPr="009841A5">
        <w:t xml:space="preserve">ll </w:t>
      </w:r>
      <w:r w:rsidR="0096568A" w:rsidRPr="009841A5">
        <w:t>NWU-IRB</w:t>
      </w:r>
      <w:r w:rsidR="00133CD0" w:rsidRPr="009841A5">
        <w:t xml:space="preserve"> communication </w:t>
      </w:r>
      <w:r w:rsidRPr="009841A5">
        <w:t xml:space="preserve">will be directed </w:t>
      </w:r>
      <w:r w:rsidR="00133CD0" w:rsidRPr="009841A5">
        <w:t xml:space="preserve">to the student's research advisor. The </w:t>
      </w:r>
      <w:r w:rsidR="0096568A" w:rsidRPr="009841A5">
        <w:t>NWU-IRB</w:t>
      </w:r>
      <w:r w:rsidR="00133CD0" w:rsidRPr="009841A5">
        <w:t xml:space="preserve"> will communicate directly with the student's research advisor. It is the responsibility of the research advisor to communicate with and work with the student if any changes or clarifications are necessary. </w:t>
      </w:r>
    </w:p>
    <w:p w14:paraId="407479A9" w14:textId="77777777" w:rsidR="00133CD0" w:rsidRPr="009841A5" w:rsidRDefault="00133CD0" w:rsidP="00133CD0">
      <w:pPr>
        <w:pStyle w:val="NoSpacing"/>
      </w:pPr>
    </w:p>
    <w:p w14:paraId="4F6C0F20" w14:textId="77777777" w:rsidR="00133CD0" w:rsidRPr="009841A5" w:rsidRDefault="000873DF" w:rsidP="00B7636A">
      <w:pPr>
        <w:rPr>
          <w:b/>
        </w:rPr>
      </w:pPr>
      <w:r w:rsidRPr="009841A5">
        <w:rPr>
          <w:b/>
        </w:rPr>
        <w:br w:type="page"/>
      </w:r>
      <w:r w:rsidR="00EC517A" w:rsidRPr="009841A5">
        <w:rPr>
          <w:b/>
        </w:rPr>
        <w:lastRenderedPageBreak/>
        <w:t xml:space="preserve">CHECKLIST FOR </w:t>
      </w:r>
      <w:r w:rsidR="00133CD0" w:rsidRPr="009841A5">
        <w:rPr>
          <w:b/>
        </w:rPr>
        <w:t xml:space="preserve">COMPONENTS OF A COMPLETE </w:t>
      </w:r>
      <w:r w:rsidR="00755FF6">
        <w:rPr>
          <w:b/>
        </w:rPr>
        <w:t xml:space="preserve">EXPEDITED </w:t>
      </w:r>
      <w:r w:rsidR="00133CD0" w:rsidRPr="009841A5">
        <w:rPr>
          <w:b/>
        </w:rPr>
        <w:t>PROTOCOL</w:t>
      </w:r>
      <w:r w:rsidR="00EC517A" w:rsidRPr="009841A5">
        <w:rPr>
          <w:b/>
        </w:rPr>
        <w:t xml:space="preserve"> REVIEW</w:t>
      </w:r>
      <w:r w:rsidR="00133CD0" w:rsidRPr="009841A5">
        <w:rPr>
          <w:b/>
        </w:rPr>
        <w:t xml:space="preserve"> APPLICATION</w:t>
      </w:r>
    </w:p>
    <w:p w14:paraId="7F8D2A71" w14:textId="77777777" w:rsidR="00133CD0" w:rsidRPr="009841A5" w:rsidRDefault="00133CD0" w:rsidP="00133CD0">
      <w:pPr>
        <w:pStyle w:val="NoSpacing"/>
        <w:rPr>
          <w:b/>
        </w:rPr>
      </w:pPr>
    </w:p>
    <w:p w14:paraId="65A23FDD" w14:textId="77777777" w:rsidR="00EC517A" w:rsidRPr="009841A5" w:rsidRDefault="00EC517A" w:rsidP="00EC517A">
      <w:pPr>
        <w:pStyle w:val="NoSpacing"/>
        <w:ind w:left="720" w:hanging="720"/>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 xml:space="preserve">Complete the training module available at </w:t>
      </w:r>
      <w:hyperlink r:id="rId14" w:history="1">
        <w:r w:rsidRPr="009841A5">
          <w:rPr>
            <w:rStyle w:val="Hyperlink"/>
          </w:rPr>
          <w:t>http://phrp.nihtraining.com</w:t>
        </w:r>
      </w:hyperlink>
      <w:r w:rsidRPr="009841A5">
        <w:t xml:space="preserve"> and submit a copy of the certificate provided.</w:t>
      </w:r>
    </w:p>
    <w:p w14:paraId="1C78E338" w14:textId="77777777" w:rsidR="00EC517A" w:rsidRPr="009841A5" w:rsidRDefault="00EC517A" w:rsidP="00EC517A">
      <w:pPr>
        <w:pStyle w:val="NoSpacing"/>
        <w:ind w:left="720" w:hanging="720"/>
      </w:pPr>
    </w:p>
    <w:p w14:paraId="64B19E54" w14:textId="77777777" w:rsidR="00133CD0" w:rsidRPr="009841A5" w:rsidRDefault="00133CD0" w:rsidP="00D50872">
      <w:pPr>
        <w:pStyle w:val="NoSpacing"/>
        <w:ind w:left="720" w:hanging="720"/>
      </w:pPr>
      <w:r w:rsidRPr="009841A5">
        <w:fldChar w:fldCharType="begin">
          <w:ffData>
            <w:name w:val=""/>
            <w:enabled/>
            <w:calcOnExit w:val="0"/>
            <w:checkBox>
              <w:sizeAuto/>
              <w:default w:val="0"/>
            </w:checkBox>
          </w:ffData>
        </w:fldChar>
      </w:r>
      <w:r w:rsidRPr="009841A5">
        <w:instrText xml:space="preserve"> FORMCHECKBOX </w:instrText>
      </w:r>
      <w:r w:rsidR="004F35C3">
        <w:fldChar w:fldCharType="separate"/>
      </w:r>
      <w:r w:rsidRPr="009841A5">
        <w:fldChar w:fldCharType="end"/>
      </w:r>
      <w:r w:rsidR="00EC517A" w:rsidRPr="009841A5">
        <w:tab/>
        <w:t>Determine</w:t>
      </w:r>
      <w:r w:rsidRPr="009841A5">
        <w:t xml:space="preserve"> the appropriate </w:t>
      </w:r>
      <w:r w:rsidR="00755FF6">
        <w:t>r</w:t>
      </w:r>
      <w:r w:rsidRPr="009841A5">
        <w:t>eview category/categories</w:t>
      </w:r>
      <w:r w:rsidR="00EC517A" w:rsidRPr="009841A5">
        <w:t>, and note on application</w:t>
      </w:r>
      <w:r w:rsidRPr="009841A5">
        <w:t>.</w:t>
      </w:r>
    </w:p>
    <w:p w14:paraId="0D13E532" w14:textId="77777777" w:rsidR="00EC517A" w:rsidRPr="009841A5" w:rsidRDefault="00EC517A" w:rsidP="00133CD0">
      <w:pPr>
        <w:pStyle w:val="NoSpacing"/>
        <w:rPr>
          <w:u w:val="single"/>
        </w:rPr>
      </w:pPr>
    </w:p>
    <w:p w14:paraId="4F4C5920" w14:textId="77777777" w:rsidR="000873DF" w:rsidRPr="009841A5" w:rsidRDefault="00133CD0" w:rsidP="00D50872">
      <w:pPr>
        <w:pStyle w:val="NoSpacing"/>
        <w:ind w:left="720" w:hanging="720"/>
        <w:rPr>
          <w:u w:val="single"/>
        </w:rPr>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r>
      <w:r w:rsidR="000873DF" w:rsidRPr="009841A5">
        <w:t xml:space="preserve">Complete the </w:t>
      </w:r>
      <w:r w:rsidR="00EC517A" w:rsidRPr="009841A5">
        <w:rPr>
          <w:b/>
        </w:rPr>
        <w:t xml:space="preserve">Application for </w:t>
      </w:r>
      <w:r w:rsidR="000873DF" w:rsidRPr="009841A5">
        <w:rPr>
          <w:b/>
        </w:rPr>
        <w:t xml:space="preserve">NWU-IRB </w:t>
      </w:r>
      <w:r w:rsidR="00EC517A" w:rsidRPr="009841A5">
        <w:rPr>
          <w:b/>
        </w:rPr>
        <w:t xml:space="preserve">Protocol </w:t>
      </w:r>
      <w:r w:rsidR="000873DF" w:rsidRPr="009841A5">
        <w:rPr>
          <w:b/>
        </w:rPr>
        <w:t>Review</w:t>
      </w:r>
      <w:r w:rsidR="00755FF6">
        <w:rPr>
          <w:b/>
        </w:rPr>
        <w:t xml:space="preserve">, and check the box for Expedited </w:t>
      </w:r>
      <w:r w:rsidR="00EC517A" w:rsidRPr="009841A5">
        <w:rPr>
          <w:b/>
        </w:rPr>
        <w:t>category</w:t>
      </w:r>
      <w:r w:rsidRPr="009841A5">
        <w:t>.</w:t>
      </w:r>
      <w:r w:rsidR="000873DF" w:rsidRPr="009841A5">
        <w:rPr>
          <w:u w:val="single"/>
        </w:rPr>
        <w:t xml:space="preserve"> </w:t>
      </w:r>
    </w:p>
    <w:p w14:paraId="3F03EFAD" w14:textId="77777777" w:rsidR="00EC517A" w:rsidRPr="009841A5" w:rsidRDefault="00EC517A" w:rsidP="000873DF">
      <w:pPr>
        <w:pStyle w:val="NoSpacing"/>
        <w:rPr>
          <w:u w:val="single"/>
        </w:rPr>
      </w:pPr>
    </w:p>
    <w:p w14:paraId="150E8B87" w14:textId="77777777" w:rsidR="00133CD0" w:rsidRPr="009841A5" w:rsidRDefault="000873DF" w:rsidP="00D50872">
      <w:pPr>
        <w:pStyle w:val="NoSpacing"/>
        <w:ind w:left="720" w:hanging="720"/>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Obtain needed signatures: Principal Investigator(s), Faculty Advisor, etc.</w:t>
      </w:r>
    </w:p>
    <w:p w14:paraId="6A0B7F0D" w14:textId="77777777" w:rsidR="00EC517A" w:rsidRPr="009841A5" w:rsidRDefault="00EC517A" w:rsidP="00133CD0">
      <w:pPr>
        <w:pStyle w:val="NoSpacing"/>
      </w:pPr>
    </w:p>
    <w:p w14:paraId="5615FABA" w14:textId="77777777" w:rsidR="00133CD0" w:rsidRPr="009841A5" w:rsidRDefault="00133CD0" w:rsidP="000873DF">
      <w:pPr>
        <w:pStyle w:val="NoSpacing"/>
        <w:ind w:left="720" w:hanging="720"/>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As applicable, subm</w:t>
      </w:r>
      <w:r w:rsidR="000873DF" w:rsidRPr="009841A5">
        <w:t>it a permission letter from any</w:t>
      </w:r>
      <w:r w:rsidRPr="009841A5">
        <w:t xml:space="preserve"> performance site</w:t>
      </w:r>
      <w:r w:rsidR="000873DF" w:rsidRPr="009841A5">
        <w:t>s or other outside organizations involved in your research</w:t>
      </w:r>
      <w:r w:rsidRPr="009841A5">
        <w:t>.</w:t>
      </w:r>
    </w:p>
    <w:p w14:paraId="244085B8" w14:textId="77777777" w:rsidR="00133CD0" w:rsidRPr="009841A5" w:rsidRDefault="00133CD0" w:rsidP="00EC517A">
      <w:pPr>
        <w:pStyle w:val="NoSpacing"/>
        <w:ind w:left="1080" w:hanging="360"/>
      </w:pPr>
      <w:r w:rsidRPr="009841A5">
        <w:tab/>
      </w:r>
      <w:r w:rsidR="00EC517A" w:rsidRPr="009841A5">
        <w:t xml:space="preserve">Note: </w:t>
      </w:r>
      <w:r w:rsidRPr="009841A5">
        <w:t xml:space="preserve">Approval for specific performance sites will be granted on a site-by-site basis as the permission letters are received and approved by the </w:t>
      </w:r>
      <w:r w:rsidR="0096568A" w:rsidRPr="009841A5">
        <w:t>NWU-IRB</w:t>
      </w:r>
      <w:r w:rsidRPr="009841A5">
        <w:t>.</w:t>
      </w:r>
    </w:p>
    <w:p w14:paraId="5A5696A5" w14:textId="77777777" w:rsidR="00EC517A" w:rsidRPr="009841A5" w:rsidRDefault="00EC517A" w:rsidP="000873DF">
      <w:pPr>
        <w:pStyle w:val="NoSpacing"/>
        <w:ind w:left="1440" w:hanging="720"/>
      </w:pPr>
    </w:p>
    <w:p w14:paraId="46DE17A0" w14:textId="77777777" w:rsidR="00133CD0" w:rsidRPr="009841A5" w:rsidRDefault="00133CD0" w:rsidP="000873DF">
      <w:pPr>
        <w:pStyle w:val="NoSpacing"/>
        <w:ind w:left="720" w:hanging="720"/>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 xml:space="preserve">Submit copies of all recruitment materials, such as fliers, newspaper ads, brochures, posters.  They must be approved by the </w:t>
      </w:r>
      <w:r w:rsidR="0096568A" w:rsidRPr="009841A5">
        <w:t>NWU-IRB</w:t>
      </w:r>
      <w:r w:rsidRPr="009841A5">
        <w:t xml:space="preserve"> </w:t>
      </w:r>
      <w:r w:rsidRPr="009841A5">
        <w:rPr>
          <w:u w:val="single"/>
        </w:rPr>
        <w:t>prior to use</w:t>
      </w:r>
      <w:r w:rsidRPr="009841A5">
        <w:t>.</w:t>
      </w:r>
    </w:p>
    <w:p w14:paraId="513D2D3D" w14:textId="77777777" w:rsidR="00EC517A" w:rsidRPr="009841A5" w:rsidRDefault="00EC517A" w:rsidP="000873DF">
      <w:pPr>
        <w:pStyle w:val="NoSpacing"/>
        <w:ind w:left="720" w:hanging="720"/>
      </w:pPr>
    </w:p>
    <w:p w14:paraId="32FD6E61" w14:textId="77777777" w:rsidR="000873DF" w:rsidRPr="009841A5" w:rsidRDefault="000873DF" w:rsidP="000873DF">
      <w:pPr>
        <w:pStyle w:val="NoSpacing"/>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 xml:space="preserve">Submit copies of all informed consent forms. </w:t>
      </w:r>
    </w:p>
    <w:p w14:paraId="3F804453" w14:textId="77777777" w:rsidR="00EC517A" w:rsidRPr="009841A5" w:rsidRDefault="00EC517A" w:rsidP="000873DF">
      <w:pPr>
        <w:pStyle w:val="NoSpacing"/>
      </w:pPr>
    </w:p>
    <w:p w14:paraId="36C9E9C3" w14:textId="77777777" w:rsidR="000873DF" w:rsidRPr="009841A5" w:rsidRDefault="000873DF" w:rsidP="00D50872">
      <w:pPr>
        <w:pStyle w:val="NoSpacing"/>
        <w:ind w:left="720" w:hanging="720"/>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Submit copies of all survey instruments, questionnaires, or any other such data collection materials.</w:t>
      </w:r>
    </w:p>
    <w:p w14:paraId="7B19ADDC" w14:textId="77777777" w:rsidR="006C5FE9" w:rsidRPr="009841A5" w:rsidRDefault="006C5FE9" w:rsidP="006C5FE9">
      <w:pPr>
        <w:pStyle w:val="NoSpacing"/>
        <w:ind w:left="720" w:hanging="720"/>
      </w:pPr>
    </w:p>
    <w:p w14:paraId="232FD0D4" w14:textId="77777777" w:rsidR="006C5FE9" w:rsidRPr="009841A5" w:rsidRDefault="006C5FE9" w:rsidP="006C5FE9">
      <w:pPr>
        <w:pStyle w:val="NoSpacing"/>
      </w:pPr>
      <w:r w:rsidRPr="009841A5">
        <w:fldChar w:fldCharType="begin">
          <w:ffData>
            <w:name w:val="Check1"/>
            <w:enabled/>
            <w:calcOnExit w:val="0"/>
            <w:checkBox>
              <w:sizeAuto/>
              <w:default w:val="0"/>
            </w:checkBox>
          </w:ffData>
        </w:fldChar>
      </w:r>
      <w:r w:rsidRPr="009841A5">
        <w:instrText xml:space="preserve"> FORMCHECKBOX </w:instrText>
      </w:r>
      <w:r w:rsidR="004F35C3">
        <w:fldChar w:fldCharType="separate"/>
      </w:r>
      <w:r w:rsidRPr="009841A5">
        <w:fldChar w:fldCharType="end"/>
      </w:r>
      <w:r w:rsidRPr="009841A5">
        <w:tab/>
        <w:t xml:space="preserve">Include a Reference List for academic studies cited. </w:t>
      </w:r>
    </w:p>
    <w:p w14:paraId="7C6B0AE3" w14:textId="77777777" w:rsidR="006C5FE9" w:rsidRPr="009841A5" w:rsidRDefault="006C5FE9" w:rsidP="00D50872">
      <w:pPr>
        <w:pStyle w:val="NoSpacing"/>
        <w:ind w:left="720" w:hanging="720"/>
      </w:pPr>
    </w:p>
    <w:p w14:paraId="318D974F" w14:textId="77777777" w:rsidR="00133CD0" w:rsidRPr="009841A5" w:rsidRDefault="00133CD0" w:rsidP="00133CD0">
      <w:pPr>
        <w:pStyle w:val="NoSpacing"/>
      </w:pPr>
    </w:p>
    <w:p w14:paraId="1FF27A75" w14:textId="77777777" w:rsidR="00B7636A" w:rsidRPr="009841A5" w:rsidRDefault="00B7636A" w:rsidP="00133CD0">
      <w:pPr>
        <w:pStyle w:val="NoSpacing"/>
      </w:pPr>
    </w:p>
    <w:p w14:paraId="34509C4B" w14:textId="77777777" w:rsidR="00B7636A" w:rsidRPr="009841A5" w:rsidRDefault="00B7636A" w:rsidP="00B7636A">
      <w:pPr>
        <w:pStyle w:val="NoSpacing"/>
      </w:pPr>
    </w:p>
    <w:p w14:paraId="1388AF28" w14:textId="77777777" w:rsidR="00B7636A" w:rsidRPr="009841A5" w:rsidRDefault="00B7636A" w:rsidP="00133CD0">
      <w:pPr>
        <w:pStyle w:val="NoSpacing"/>
      </w:pPr>
    </w:p>
    <w:sectPr w:rsidR="00B7636A" w:rsidRPr="009841A5" w:rsidSect="002326C7">
      <w:footerReference w:type="default" r:id="rId15"/>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CC66D" w14:textId="77777777" w:rsidR="00E94257" w:rsidRDefault="00E94257" w:rsidP="002326C7">
      <w:pPr>
        <w:spacing w:after="0" w:line="240" w:lineRule="auto"/>
      </w:pPr>
      <w:r>
        <w:separator/>
      </w:r>
    </w:p>
  </w:endnote>
  <w:endnote w:type="continuationSeparator" w:id="0">
    <w:p w14:paraId="071C51EC" w14:textId="77777777" w:rsidR="00E94257" w:rsidRDefault="00E94257" w:rsidP="0023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2024"/>
      <w:docPartObj>
        <w:docPartGallery w:val="Page Numbers (Bottom of Page)"/>
        <w:docPartUnique/>
      </w:docPartObj>
    </w:sdtPr>
    <w:sdtEndPr/>
    <w:sdtContent>
      <w:sdt>
        <w:sdtPr>
          <w:id w:val="-1705238520"/>
          <w:docPartObj>
            <w:docPartGallery w:val="Page Numbers (Top of Page)"/>
            <w:docPartUnique/>
          </w:docPartObj>
        </w:sdtPr>
        <w:sdtEndPr/>
        <w:sdtContent>
          <w:p w14:paraId="082585CC" w14:textId="77777777" w:rsidR="002326C7" w:rsidRPr="002326C7" w:rsidRDefault="002326C7" w:rsidP="002326C7">
            <w:pPr>
              <w:pStyle w:val="Footer"/>
              <w:jc w:val="right"/>
              <w:rPr>
                <w:sz w:val="18"/>
                <w:szCs w:val="18"/>
              </w:rPr>
            </w:pPr>
            <w:r w:rsidRPr="002326C7">
              <w:rPr>
                <w:sz w:val="18"/>
                <w:szCs w:val="18"/>
              </w:rPr>
              <w:t xml:space="preserve">NWU-IRB </w:t>
            </w:r>
            <w:r w:rsidR="005F27D7">
              <w:rPr>
                <w:sz w:val="18"/>
                <w:szCs w:val="18"/>
              </w:rPr>
              <w:t>Categories</w:t>
            </w:r>
            <w:r w:rsidR="00133CD0">
              <w:rPr>
                <w:sz w:val="18"/>
                <w:szCs w:val="18"/>
              </w:rPr>
              <w:t xml:space="preserve"> for </w:t>
            </w:r>
            <w:r w:rsidR="009841A5">
              <w:rPr>
                <w:sz w:val="18"/>
                <w:szCs w:val="18"/>
              </w:rPr>
              <w:t>Expedited</w:t>
            </w:r>
            <w:r w:rsidRPr="002326C7">
              <w:rPr>
                <w:sz w:val="18"/>
                <w:szCs w:val="18"/>
              </w:rPr>
              <w:t xml:space="preserve"> Application </w:t>
            </w:r>
            <w:r w:rsidR="009841A5">
              <w:rPr>
                <w:sz w:val="18"/>
                <w:szCs w:val="18"/>
              </w:rPr>
              <w:t xml:space="preserve">(updated </w:t>
            </w:r>
            <w:r w:rsidR="004F35C3">
              <w:rPr>
                <w:sz w:val="18"/>
                <w:szCs w:val="18"/>
              </w:rPr>
              <w:t>September 2018</w:t>
            </w:r>
            <w:r w:rsidRPr="002326C7">
              <w:rPr>
                <w:sz w:val="18"/>
                <w:szCs w:val="18"/>
              </w:rPr>
              <w:t>)</w:t>
            </w:r>
          </w:p>
          <w:p w14:paraId="228A8A4D" w14:textId="77777777" w:rsidR="002326C7" w:rsidRDefault="002326C7" w:rsidP="002326C7">
            <w:pPr>
              <w:pStyle w:val="Footer"/>
              <w:jc w:val="right"/>
            </w:pPr>
            <w:r w:rsidRPr="002326C7">
              <w:rPr>
                <w:sz w:val="18"/>
                <w:szCs w:val="18"/>
              </w:rPr>
              <w:t xml:space="preserve">Page </w:t>
            </w:r>
            <w:r w:rsidRPr="002326C7">
              <w:rPr>
                <w:b/>
                <w:bCs/>
                <w:sz w:val="18"/>
                <w:szCs w:val="18"/>
              </w:rPr>
              <w:fldChar w:fldCharType="begin"/>
            </w:r>
            <w:r w:rsidRPr="002326C7">
              <w:rPr>
                <w:b/>
                <w:bCs/>
                <w:sz w:val="18"/>
                <w:szCs w:val="18"/>
              </w:rPr>
              <w:instrText xml:space="preserve"> PAGE </w:instrText>
            </w:r>
            <w:r w:rsidRPr="002326C7">
              <w:rPr>
                <w:b/>
                <w:bCs/>
                <w:sz w:val="18"/>
                <w:szCs w:val="18"/>
              </w:rPr>
              <w:fldChar w:fldCharType="separate"/>
            </w:r>
            <w:r w:rsidR="004F35C3">
              <w:rPr>
                <w:b/>
                <w:bCs/>
                <w:noProof/>
                <w:sz w:val="18"/>
                <w:szCs w:val="18"/>
              </w:rPr>
              <w:t>3</w:t>
            </w:r>
            <w:r w:rsidRPr="002326C7">
              <w:rPr>
                <w:b/>
                <w:bCs/>
                <w:sz w:val="18"/>
                <w:szCs w:val="18"/>
              </w:rPr>
              <w:fldChar w:fldCharType="end"/>
            </w:r>
            <w:r w:rsidRPr="002326C7">
              <w:rPr>
                <w:sz w:val="18"/>
                <w:szCs w:val="18"/>
              </w:rPr>
              <w:t xml:space="preserve"> of </w:t>
            </w:r>
            <w:r w:rsidRPr="002326C7">
              <w:rPr>
                <w:b/>
                <w:bCs/>
                <w:sz w:val="18"/>
                <w:szCs w:val="18"/>
              </w:rPr>
              <w:fldChar w:fldCharType="begin"/>
            </w:r>
            <w:r w:rsidRPr="002326C7">
              <w:rPr>
                <w:b/>
                <w:bCs/>
                <w:sz w:val="18"/>
                <w:szCs w:val="18"/>
              </w:rPr>
              <w:instrText xml:space="preserve"> NUMPAGES  </w:instrText>
            </w:r>
            <w:r w:rsidRPr="002326C7">
              <w:rPr>
                <w:b/>
                <w:bCs/>
                <w:sz w:val="18"/>
                <w:szCs w:val="18"/>
              </w:rPr>
              <w:fldChar w:fldCharType="separate"/>
            </w:r>
            <w:r w:rsidR="004F35C3">
              <w:rPr>
                <w:b/>
                <w:bCs/>
                <w:noProof/>
                <w:sz w:val="18"/>
                <w:szCs w:val="18"/>
              </w:rPr>
              <w:t>4</w:t>
            </w:r>
            <w:r w:rsidRPr="002326C7">
              <w:rPr>
                <w:b/>
                <w:bCs/>
                <w:sz w:val="18"/>
                <w:szCs w:val="18"/>
              </w:rPr>
              <w:fldChar w:fldCharType="end"/>
            </w:r>
          </w:p>
        </w:sdtContent>
      </w:sdt>
    </w:sdtContent>
  </w:sdt>
  <w:p w14:paraId="37E85F60" w14:textId="77777777" w:rsidR="002326C7" w:rsidRDefault="0023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225A" w14:textId="77777777" w:rsidR="00E94257" w:rsidRDefault="00E94257" w:rsidP="002326C7">
      <w:pPr>
        <w:spacing w:after="0" w:line="240" w:lineRule="auto"/>
      </w:pPr>
      <w:r>
        <w:separator/>
      </w:r>
    </w:p>
  </w:footnote>
  <w:footnote w:type="continuationSeparator" w:id="0">
    <w:p w14:paraId="607AE7F6" w14:textId="77777777" w:rsidR="00E94257" w:rsidRDefault="00E94257" w:rsidP="002326C7">
      <w:pPr>
        <w:spacing w:after="0" w:line="240" w:lineRule="auto"/>
      </w:pPr>
      <w:r>
        <w:continuationSeparator/>
      </w:r>
    </w:p>
  </w:footnote>
  <w:footnote w:id="1">
    <w:p w14:paraId="04C5A0A6" w14:textId="77777777" w:rsidR="0042716E" w:rsidRDefault="0042716E">
      <w:pPr>
        <w:pStyle w:val="FootnoteText"/>
      </w:pPr>
      <w:r>
        <w:rPr>
          <w:rStyle w:val="FootnoteReference"/>
        </w:rPr>
        <w:footnoteRef/>
      </w:r>
      <w:r>
        <w:t xml:space="preserve"> </w:t>
      </w:r>
      <w:hyperlink r:id="rId1" w:history="1">
        <w:r w:rsidR="00103A96" w:rsidRPr="00204212">
          <w:rPr>
            <w:rStyle w:val="Hyperlink"/>
          </w:rPr>
          <w:t>http://www.hhs.gov/ohrp/regulations-and-policy/regulations/45-cfr-46</w:t>
        </w:r>
      </w:hyperlink>
      <w:r w:rsidR="00103A96">
        <w:t xml:space="preserve"> </w:t>
      </w:r>
    </w:p>
    <w:p w14:paraId="2CB0A938" w14:textId="77777777" w:rsidR="0042716E" w:rsidRDefault="0042716E">
      <w:pPr>
        <w:pStyle w:val="FootnoteText"/>
      </w:pPr>
    </w:p>
  </w:footnote>
  <w:footnote w:id="2">
    <w:p w14:paraId="10588391" w14:textId="77777777" w:rsidR="00925BCC" w:rsidRDefault="00925BCC">
      <w:pPr>
        <w:pStyle w:val="FootnoteText"/>
      </w:pPr>
      <w:r>
        <w:rPr>
          <w:rStyle w:val="FootnoteReference"/>
        </w:rPr>
        <w:footnoteRef/>
      </w:r>
      <w:r>
        <w:t xml:space="preserve"> </w:t>
      </w:r>
      <w:hyperlink r:id="rId2" w:history="1">
        <w:r w:rsidRPr="00204212">
          <w:rPr>
            <w:rStyle w:val="Hyperlink"/>
          </w:rPr>
          <w:t>http://www.hhs.gov/ohrp/news/federal-register-notices/federal-register-11-09-1998-vol-63-no-216/index.html</w:t>
        </w:r>
      </w:hyperlink>
      <w:r>
        <w:t xml:space="preserve"> </w:t>
      </w:r>
    </w:p>
    <w:p w14:paraId="2EBC0A53" w14:textId="77777777" w:rsidR="00925BCC" w:rsidRDefault="00925BCC">
      <w:pPr>
        <w:pStyle w:val="FootnoteText"/>
      </w:pPr>
    </w:p>
  </w:footnote>
  <w:footnote w:id="3">
    <w:p w14:paraId="7EE4D1EA" w14:textId="77777777" w:rsidR="00E20124" w:rsidRDefault="00E20124" w:rsidP="00E20124">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588FE4"/>
    <w:lvl w:ilvl="0">
      <w:numFmt w:val="bullet"/>
      <w:lvlText w:val="*"/>
      <w:lvlJc w:val="left"/>
    </w:lvl>
  </w:abstractNum>
  <w:abstractNum w:abstractNumId="1" w15:restartNumberingAfterBreak="0">
    <w:nsid w:val="061A3D87"/>
    <w:multiLevelType w:val="multilevel"/>
    <w:tmpl w:val="4C4C809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F323162"/>
    <w:multiLevelType w:val="hybridMultilevel"/>
    <w:tmpl w:val="6BE4AB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82BDC"/>
    <w:multiLevelType w:val="multilevel"/>
    <w:tmpl w:val="83A4AA1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1BBB1266"/>
    <w:multiLevelType w:val="multilevel"/>
    <w:tmpl w:val="0E5E85F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1EEE5612"/>
    <w:multiLevelType w:val="multilevel"/>
    <w:tmpl w:val="7A9E8AFE"/>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21420736"/>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25CF2CEA"/>
    <w:multiLevelType w:val="hybridMultilevel"/>
    <w:tmpl w:val="9C3C5504"/>
    <w:lvl w:ilvl="0" w:tplc="FCF4C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D78DD"/>
    <w:multiLevelType w:val="hybridMultilevel"/>
    <w:tmpl w:val="1C1A61E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52FA8"/>
    <w:multiLevelType w:val="multilevel"/>
    <w:tmpl w:val="18304AE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EC2303"/>
    <w:multiLevelType w:val="hybridMultilevel"/>
    <w:tmpl w:val="DAAA6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37A79"/>
    <w:multiLevelType w:val="multilevel"/>
    <w:tmpl w:val="9BA8F06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901D9"/>
    <w:multiLevelType w:val="multilevel"/>
    <w:tmpl w:val="FBE4F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C6DA8"/>
    <w:multiLevelType w:val="multilevel"/>
    <w:tmpl w:val="2DCE8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81E4FEB"/>
    <w:multiLevelType w:val="multilevel"/>
    <w:tmpl w:val="509262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507FBD"/>
    <w:multiLevelType w:val="multilevel"/>
    <w:tmpl w:val="82B0FE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15:restartNumberingAfterBreak="0">
    <w:nsid w:val="6CCE7A3F"/>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761D7A4C"/>
    <w:multiLevelType w:val="multilevel"/>
    <w:tmpl w:val="1A22D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272E2"/>
    <w:multiLevelType w:val="multilevel"/>
    <w:tmpl w:val="3306FDD2"/>
    <w:lvl w:ilvl="0">
      <w:start w:val="1"/>
      <w:numFmt w:val="lowerRoman"/>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5"/>
  </w:num>
  <w:num w:numId="4">
    <w:abstractNumId w:val="17"/>
  </w:num>
  <w:num w:numId="5">
    <w:abstractNumId w:val="15"/>
  </w:num>
  <w:num w:numId="6">
    <w:abstractNumId w:val="12"/>
  </w:num>
  <w:num w:numId="7">
    <w:abstractNumId w:val="3"/>
  </w:num>
  <w:num w:numId="8">
    <w:abstractNumId w:val="9"/>
  </w:num>
  <w:num w:numId="9">
    <w:abstractNumId w:val="10"/>
  </w:num>
  <w:num w:numId="10">
    <w:abstractNumId w:val="18"/>
  </w:num>
  <w:num w:numId="11">
    <w:abstractNumId w:val="16"/>
  </w:num>
  <w:num w:numId="12">
    <w:abstractNumId w:val="6"/>
  </w:num>
  <w:num w:numId="13">
    <w:abstractNumId w:val="11"/>
  </w:num>
  <w:num w:numId="14">
    <w:abstractNumId w:val="13"/>
  </w:num>
  <w:num w:numId="15">
    <w:abstractNumId w:val="2"/>
  </w:num>
  <w:num w:numId="16">
    <w:abstractNumId w:val="8"/>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C7"/>
    <w:rsid w:val="000873DF"/>
    <w:rsid w:val="00103A96"/>
    <w:rsid w:val="00133CD0"/>
    <w:rsid w:val="0016096F"/>
    <w:rsid w:val="001A1BB9"/>
    <w:rsid w:val="001C3E3D"/>
    <w:rsid w:val="00211F06"/>
    <w:rsid w:val="00232571"/>
    <w:rsid w:val="002326C7"/>
    <w:rsid w:val="00273720"/>
    <w:rsid w:val="0030733F"/>
    <w:rsid w:val="003B00C5"/>
    <w:rsid w:val="0042716E"/>
    <w:rsid w:val="004B463A"/>
    <w:rsid w:val="004F35C3"/>
    <w:rsid w:val="005D046B"/>
    <w:rsid w:val="005F27D7"/>
    <w:rsid w:val="00612E3A"/>
    <w:rsid w:val="006414ED"/>
    <w:rsid w:val="006C5FE9"/>
    <w:rsid w:val="006E372F"/>
    <w:rsid w:val="0075403B"/>
    <w:rsid w:val="00755FF6"/>
    <w:rsid w:val="008457F2"/>
    <w:rsid w:val="00853A10"/>
    <w:rsid w:val="0089756D"/>
    <w:rsid w:val="008B7317"/>
    <w:rsid w:val="008F54ED"/>
    <w:rsid w:val="00925BCC"/>
    <w:rsid w:val="00931462"/>
    <w:rsid w:val="009446AC"/>
    <w:rsid w:val="0096568A"/>
    <w:rsid w:val="009841A5"/>
    <w:rsid w:val="009D0306"/>
    <w:rsid w:val="009D7711"/>
    <w:rsid w:val="00AD13AD"/>
    <w:rsid w:val="00B7636A"/>
    <w:rsid w:val="00BD434C"/>
    <w:rsid w:val="00BF711D"/>
    <w:rsid w:val="00BF7B88"/>
    <w:rsid w:val="00C80DC9"/>
    <w:rsid w:val="00CE1AEF"/>
    <w:rsid w:val="00CE7A45"/>
    <w:rsid w:val="00D50872"/>
    <w:rsid w:val="00DA14C3"/>
    <w:rsid w:val="00DF359C"/>
    <w:rsid w:val="00E20124"/>
    <w:rsid w:val="00E94257"/>
    <w:rsid w:val="00EC517A"/>
    <w:rsid w:val="00ED3A80"/>
    <w:rsid w:val="00F7450B"/>
    <w:rsid w:val="00FD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700BE"/>
  <w15:chartTrackingRefBased/>
  <w15:docId w15:val="{EFB0850B-0FF3-4029-A483-DF3C97C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6C7"/>
    <w:pPr>
      <w:spacing w:after="0" w:line="240" w:lineRule="auto"/>
    </w:pPr>
  </w:style>
  <w:style w:type="paragraph" w:styleId="Header">
    <w:name w:val="header"/>
    <w:basedOn w:val="Normal"/>
    <w:link w:val="HeaderChar"/>
    <w:uiPriority w:val="99"/>
    <w:unhideWhenUsed/>
    <w:rsid w:val="0023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C7"/>
  </w:style>
  <w:style w:type="paragraph" w:styleId="Footer">
    <w:name w:val="footer"/>
    <w:basedOn w:val="Normal"/>
    <w:link w:val="FooterChar"/>
    <w:uiPriority w:val="99"/>
    <w:unhideWhenUsed/>
    <w:rsid w:val="0023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C7"/>
  </w:style>
  <w:style w:type="character" w:styleId="Hyperlink">
    <w:name w:val="Hyperlink"/>
    <w:rsid w:val="00853A10"/>
    <w:rPr>
      <w:color w:val="0000FF"/>
      <w:u w:val="single"/>
    </w:rPr>
  </w:style>
  <w:style w:type="paragraph" w:styleId="BodyText2">
    <w:name w:val="Body Text 2"/>
    <w:basedOn w:val="Normal"/>
    <w:link w:val="BodyText2Char"/>
    <w:rsid w:val="00853A10"/>
    <w:pPr>
      <w:widowControl w:val="0"/>
      <w:spacing w:after="0" w:line="240" w:lineRule="auto"/>
    </w:pPr>
    <w:rPr>
      <w:rFonts w:ascii="Times New Roman" w:eastAsia="Times New Roman" w:hAnsi="Times New Roman" w:cs="Times New Roman"/>
      <w:bCs/>
      <w:i/>
      <w:iCs/>
      <w:snapToGrid w:val="0"/>
      <w:sz w:val="24"/>
      <w:szCs w:val="20"/>
    </w:rPr>
  </w:style>
  <w:style w:type="character" w:customStyle="1" w:styleId="BodyText2Char">
    <w:name w:val="Body Text 2 Char"/>
    <w:basedOn w:val="DefaultParagraphFont"/>
    <w:link w:val="BodyText2"/>
    <w:rsid w:val="00853A10"/>
    <w:rPr>
      <w:rFonts w:ascii="Times New Roman" w:eastAsia="Times New Roman" w:hAnsi="Times New Roman" w:cs="Times New Roman"/>
      <w:bCs/>
      <w:i/>
      <w:iCs/>
      <w:snapToGrid w:val="0"/>
      <w:sz w:val="24"/>
      <w:szCs w:val="20"/>
    </w:rPr>
  </w:style>
  <w:style w:type="paragraph" w:styleId="FootnoteText">
    <w:name w:val="footnote text"/>
    <w:basedOn w:val="Normal"/>
    <w:link w:val="FootnoteTextChar"/>
    <w:uiPriority w:val="99"/>
    <w:semiHidden/>
    <w:unhideWhenUsed/>
    <w:rsid w:val="00EC5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17A"/>
    <w:rPr>
      <w:sz w:val="20"/>
      <w:szCs w:val="20"/>
    </w:rPr>
  </w:style>
  <w:style w:type="character" w:styleId="FootnoteReference">
    <w:name w:val="footnote reference"/>
    <w:basedOn w:val="DefaultParagraphFont"/>
    <w:uiPriority w:val="99"/>
    <w:semiHidden/>
    <w:unhideWhenUsed/>
    <w:rsid w:val="00EC517A"/>
    <w:rPr>
      <w:vertAlign w:val="superscript"/>
    </w:rPr>
  </w:style>
  <w:style w:type="paragraph" w:styleId="BalloonText">
    <w:name w:val="Balloon Text"/>
    <w:basedOn w:val="Normal"/>
    <w:link w:val="BalloonTextChar"/>
    <w:uiPriority w:val="99"/>
    <w:semiHidden/>
    <w:unhideWhenUsed/>
    <w:rsid w:val="0075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lummer@nebrwesleya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regulations-and-policy/regulations/45-cfr-46/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regulations-and-policy/regulations/45-cfr-46/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hrp.nihtraining.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hs.gov/ohrp/news/federal-register-notices/federal-register-11-09-1998-vol-63-no-216/index.html" TargetMode="External"/><Relationship Id="rId1" Type="http://schemas.openxmlformats.org/officeDocument/2006/relationships/hyperlink" Target="http://www.hhs.gov/ohrp/regulations-and-policy/regulations/45-cfr-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E075-8FE0-41DC-B9B4-2227DC9B9BF4}"/>
</file>

<file path=customXml/itemProps2.xml><?xml version="1.0" encoding="utf-8"?>
<ds:datastoreItem xmlns:ds="http://schemas.openxmlformats.org/officeDocument/2006/customXml" ds:itemID="{34C05589-E265-4273-A898-222E74DFCB5A}">
  <ds:schemaRefs>
    <ds:schemaRef ds:uri="http://schemas.microsoft.com/sharepoint/v3/contenttype/forms"/>
  </ds:schemaRefs>
</ds:datastoreItem>
</file>

<file path=customXml/itemProps3.xml><?xml version="1.0" encoding="utf-8"?>
<ds:datastoreItem xmlns:ds="http://schemas.openxmlformats.org/officeDocument/2006/customXml" ds:itemID="{39795726-1BEB-4B3B-A382-846084331837}">
  <ds:schemaRefs>
    <ds:schemaRef ds:uri="d53e0eaf-b4c9-49bd-96b4-099cb6e50bae"/>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cee10534-b806-4459-af8d-66cad68911d6"/>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391E08F-70E5-4ACE-BE66-5AD0A19F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Gilbreth</dc:creator>
  <cp:keywords/>
  <dc:description/>
  <cp:lastModifiedBy>Stephanie Plummer</cp:lastModifiedBy>
  <cp:revision>2</cp:revision>
  <cp:lastPrinted>2016-10-11T19:47:00Z</cp:lastPrinted>
  <dcterms:created xsi:type="dcterms:W3CDTF">2018-09-20T16:54:00Z</dcterms:created>
  <dcterms:modified xsi:type="dcterms:W3CDTF">2018-09-20T16:54:00Z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