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D7B0E" w14:textId="77777777" w:rsidR="002326C7" w:rsidRPr="002326C7" w:rsidRDefault="002326C7" w:rsidP="002326C7">
      <w:pPr>
        <w:pStyle w:val="NoSpacing"/>
        <w:jc w:val="center"/>
        <w:rPr>
          <w:b/>
        </w:rPr>
      </w:pPr>
      <w:r w:rsidRPr="002326C7">
        <w:rPr>
          <w:b/>
        </w:rPr>
        <w:t>NEBRASKA WESLEYAN UNIVERSITY</w:t>
      </w:r>
    </w:p>
    <w:p w14:paraId="586694A0" w14:textId="77777777" w:rsidR="002326C7" w:rsidRPr="002326C7" w:rsidRDefault="002326C7" w:rsidP="002326C7">
      <w:pPr>
        <w:pStyle w:val="NoSpacing"/>
        <w:jc w:val="center"/>
        <w:rPr>
          <w:b/>
        </w:rPr>
      </w:pPr>
      <w:r w:rsidRPr="002326C7">
        <w:rPr>
          <w:b/>
        </w:rPr>
        <w:t>Institutional Review Board (NWU-IRB)</w:t>
      </w:r>
    </w:p>
    <w:p w14:paraId="726099AF" w14:textId="77777777" w:rsidR="002326C7" w:rsidRPr="002326C7" w:rsidRDefault="002326C7" w:rsidP="002326C7">
      <w:pPr>
        <w:pStyle w:val="NoSpacing"/>
        <w:jc w:val="center"/>
      </w:pPr>
      <w:r w:rsidRPr="002326C7">
        <w:t>5000 Saint Paul Avenue</w:t>
      </w:r>
      <w:r w:rsidR="009D0306">
        <w:t xml:space="preserve">; </w:t>
      </w:r>
      <w:r w:rsidRPr="002326C7">
        <w:t>Lincoln, Nebraska  68504</w:t>
      </w:r>
    </w:p>
    <w:p w14:paraId="7EF4CD6D" w14:textId="77777777" w:rsidR="002326C7" w:rsidRPr="002326C7" w:rsidRDefault="002326C7" w:rsidP="002326C7">
      <w:pPr>
        <w:pStyle w:val="NoSpacing"/>
        <w:jc w:val="center"/>
      </w:pPr>
      <w:r w:rsidRPr="002326C7">
        <w:t>FWA 00024370</w:t>
      </w:r>
    </w:p>
    <w:p w14:paraId="1079BC5F" w14:textId="77777777" w:rsidR="002326C7" w:rsidRPr="002326C7" w:rsidRDefault="002326C7" w:rsidP="002326C7">
      <w:pPr>
        <w:pStyle w:val="NoSpacing"/>
        <w:jc w:val="center"/>
      </w:pPr>
    </w:p>
    <w:p w14:paraId="293C4009" w14:textId="77777777" w:rsidR="002326C7" w:rsidRDefault="009D0306" w:rsidP="00DF359C">
      <w:pPr>
        <w:pStyle w:val="NoSpacing"/>
        <w:jc w:val="center"/>
        <w:rPr>
          <w:b/>
          <w:bCs/>
        </w:rPr>
      </w:pPr>
      <w:r>
        <w:rPr>
          <w:b/>
          <w:sz w:val="24"/>
          <w:szCs w:val="24"/>
        </w:rPr>
        <w:t>Categories</w:t>
      </w:r>
      <w:r w:rsidR="002326C7" w:rsidRPr="002326C7">
        <w:rPr>
          <w:b/>
          <w:sz w:val="24"/>
          <w:szCs w:val="24"/>
        </w:rPr>
        <w:t xml:space="preserve"> for Exempt</w:t>
      </w:r>
      <w:r w:rsidR="0096568A">
        <w:rPr>
          <w:b/>
          <w:sz w:val="24"/>
          <w:szCs w:val="24"/>
        </w:rPr>
        <w:t xml:space="preserve">ion of NWU-IRB </w:t>
      </w:r>
      <w:r>
        <w:rPr>
          <w:b/>
          <w:sz w:val="24"/>
          <w:szCs w:val="24"/>
        </w:rPr>
        <w:t xml:space="preserve">Protocol </w:t>
      </w:r>
      <w:r w:rsidR="0096568A">
        <w:rPr>
          <w:b/>
          <w:sz w:val="24"/>
          <w:szCs w:val="24"/>
        </w:rPr>
        <w:t>Review</w:t>
      </w:r>
      <w:r w:rsidR="00DF359C">
        <w:rPr>
          <w:b/>
          <w:sz w:val="24"/>
          <w:szCs w:val="24"/>
        </w:rPr>
        <w:t xml:space="preserve"> </w:t>
      </w:r>
      <w:r w:rsidR="00DF359C" w:rsidRPr="0042716E">
        <w:rPr>
          <w:b/>
        </w:rPr>
        <w:t>[45 CFR</w:t>
      </w:r>
      <w:r w:rsidR="00DF359C">
        <w:rPr>
          <w:b/>
          <w:sz w:val="24"/>
          <w:szCs w:val="24"/>
        </w:rPr>
        <w:t xml:space="preserve"> </w:t>
      </w:r>
      <w:r w:rsidR="00DF359C" w:rsidRPr="00DF359C">
        <w:rPr>
          <w:b/>
          <w:bCs/>
        </w:rPr>
        <w:t>§46.101</w:t>
      </w:r>
      <w:r w:rsidR="00DF359C">
        <w:rPr>
          <w:b/>
          <w:bCs/>
        </w:rPr>
        <w:t>(b)</w:t>
      </w:r>
      <w:r w:rsidR="0042716E">
        <w:rPr>
          <w:rStyle w:val="FootnoteReference"/>
          <w:b/>
          <w:bCs/>
        </w:rPr>
        <w:footnoteReference w:id="1"/>
      </w:r>
      <w:r w:rsidR="00DF359C">
        <w:rPr>
          <w:b/>
          <w:bCs/>
        </w:rPr>
        <w:t>]</w:t>
      </w:r>
    </w:p>
    <w:p w14:paraId="0771639A" w14:textId="77777777" w:rsidR="009D0306" w:rsidRDefault="009D0306" w:rsidP="00DF359C">
      <w:pPr>
        <w:pStyle w:val="NoSpacing"/>
        <w:jc w:val="center"/>
      </w:pPr>
    </w:p>
    <w:p w14:paraId="2406C59E" w14:textId="77777777" w:rsidR="00133CD0" w:rsidRDefault="00133CD0" w:rsidP="00133CD0">
      <w:pPr>
        <w:pStyle w:val="NoSpacing"/>
        <w:rPr>
          <w:b/>
          <w:bCs/>
        </w:rPr>
      </w:pPr>
      <w:r>
        <w:rPr>
          <w:b/>
          <w:bCs/>
        </w:rPr>
        <w:t xml:space="preserve">Research projects that meet one or more of the following categories are </w:t>
      </w:r>
      <w:r w:rsidRPr="00133CD0">
        <w:rPr>
          <w:b/>
          <w:bCs/>
        </w:rPr>
        <w:t>EXEMPT from Review</w:t>
      </w:r>
      <w:r>
        <w:rPr>
          <w:b/>
          <w:bCs/>
        </w:rPr>
        <w:t xml:space="preserve"> by the IRB</w:t>
      </w:r>
    </w:p>
    <w:p w14:paraId="32D7FA7E" w14:textId="77777777" w:rsidR="0096568A" w:rsidRPr="0096568A" w:rsidRDefault="0096568A" w:rsidP="00133CD0">
      <w:pPr>
        <w:pStyle w:val="NoSpacing"/>
        <w:rPr>
          <w:bCs/>
          <w:i/>
          <w:sz w:val="20"/>
          <w:szCs w:val="20"/>
        </w:rPr>
      </w:pPr>
      <w:r w:rsidRPr="0096568A">
        <w:rPr>
          <w:bCs/>
          <w:i/>
          <w:sz w:val="20"/>
          <w:szCs w:val="20"/>
        </w:rPr>
        <w:t>(Principal Investigators m</w:t>
      </w:r>
      <w:r w:rsidR="009D0306">
        <w:rPr>
          <w:bCs/>
          <w:i/>
          <w:sz w:val="20"/>
          <w:szCs w:val="20"/>
        </w:rPr>
        <w:t>ust fill out the Application for</w:t>
      </w:r>
      <w:r w:rsidRPr="0096568A">
        <w:rPr>
          <w:bCs/>
          <w:i/>
          <w:sz w:val="20"/>
          <w:szCs w:val="20"/>
        </w:rPr>
        <w:t xml:space="preserve"> NWU-IRB</w:t>
      </w:r>
      <w:r w:rsidR="009D0306">
        <w:rPr>
          <w:bCs/>
          <w:i/>
          <w:sz w:val="20"/>
          <w:szCs w:val="20"/>
        </w:rPr>
        <w:t xml:space="preserve"> Protocol </w:t>
      </w:r>
      <w:r w:rsidRPr="0096568A">
        <w:rPr>
          <w:bCs/>
          <w:i/>
          <w:sz w:val="20"/>
          <w:szCs w:val="20"/>
        </w:rPr>
        <w:t>Review to receive the exemption)</w:t>
      </w:r>
    </w:p>
    <w:p w14:paraId="22B1812D" w14:textId="77777777" w:rsidR="00133CD0" w:rsidRPr="00133CD0" w:rsidRDefault="00133CD0" w:rsidP="00133CD0">
      <w:pPr>
        <w:pStyle w:val="NoSpacing"/>
        <w:rPr>
          <w:b/>
          <w:bCs/>
        </w:rPr>
      </w:pPr>
    </w:p>
    <w:p w14:paraId="0EB5672E" w14:textId="77777777" w:rsidR="00133CD0" w:rsidRDefault="00133CD0" w:rsidP="0096568A">
      <w:pPr>
        <w:pStyle w:val="NoSpacing"/>
        <w:ind w:firstLine="720"/>
      </w:pPr>
      <w:r w:rsidRPr="00133CD0">
        <w:t xml:space="preserve">In order to establish that a research project is exempt, the Principal Investigator (PI) must complete the </w:t>
      </w:r>
      <w:r w:rsidR="009D0306">
        <w:rPr>
          <w:bCs/>
          <w:i/>
        </w:rPr>
        <w:t>Application for</w:t>
      </w:r>
      <w:r w:rsidRPr="00133CD0">
        <w:rPr>
          <w:bCs/>
          <w:i/>
        </w:rPr>
        <w:t xml:space="preserve"> </w:t>
      </w:r>
      <w:r w:rsidR="0096568A">
        <w:rPr>
          <w:bCs/>
          <w:i/>
        </w:rPr>
        <w:t>NWU-I</w:t>
      </w:r>
      <w:r w:rsidRPr="00133CD0">
        <w:rPr>
          <w:bCs/>
          <w:i/>
        </w:rPr>
        <w:t xml:space="preserve">RB </w:t>
      </w:r>
      <w:r w:rsidR="009D0306">
        <w:rPr>
          <w:bCs/>
          <w:i/>
        </w:rPr>
        <w:t xml:space="preserve">Protocol </w:t>
      </w:r>
      <w:r w:rsidRPr="00133CD0">
        <w:rPr>
          <w:bCs/>
          <w:i/>
        </w:rPr>
        <w:t>Review</w:t>
      </w:r>
      <w:r w:rsidR="00EC517A">
        <w:rPr>
          <w:bCs/>
        </w:rPr>
        <w:t xml:space="preserve"> and clarify that the research project poses no more than minimal risk to the research participants</w:t>
      </w:r>
      <w:r w:rsidR="00EC517A">
        <w:rPr>
          <w:rStyle w:val="FootnoteReference"/>
          <w:bCs/>
        </w:rPr>
        <w:footnoteReference w:id="2"/>
      </w:r>
      <w:r w:rsidRPr="00133CD0">
        <w:t xml:space="preserve">. </w:t>
      </w:r>
      <w:r w:rsidR="0096568A">
        <w:t>If the PI is a student, the i</w:t>
      </w:r>
      <w:r w:rsidRPr="00133CD0">
        <w:t xml:space="preserve">nitial determination will be made by the student’s research advisor. Final determination as to whether a research project is exempt rests with the </w:t>
      </w:r>
      <w:r w:rsidR="0096568A">
        <w:t>NWU-I</w:t>
      </w:r>
      <w:r w:rsidRPr="00133CD0">
        <w:t xml:space="preserve">RB. If the project is judged to be exempt, the PI need not resubmit the </w:t>
      </w:r>
      <w:r w:rsidRPr="00133CD0">
        <w:rPr>
          <w:i/>
        </w:rPr>
        <w:t xml:space="preserve">Application for </w:t>
      </w:r>
      <w:r w:rsidRPr="00133CD0">
        <w:rPr>
          <w:bCs/>
          <w:i/>
        </w:rPr>
        <w:t>Continuation Review</w:t>
      </w:r>
      <w:r w:rsidRPr="00133CD0">
        <w:t xml:space="preserve"> as long as there are no modifications in the exempted </w:t>
      </w:r>
      <w:r w:rsidRPr="00B7636A">
        <w:t xml:space="preserve">procedures. An IRB Co-Chair, or his/her designee, may review individually </w:t>
      </w:r>
      <w:r w:rsidRPr="00B7636A">
        <w:rPr>
          <w:i/>
        </w:rPr>
        <w:t xml:space="preserve">Applications for Exemption from </w:t>
      </w:r>
      <w:r w:rsidR="0096568A" w:rsidRPr="00B7636A">
        <w:rPr>
          <w:i/>
        </w:rPr>
        <w:t>NWU-</w:t>
      </w:r>
      <w:r w:rsidRPr="00B7636A">
        <w:rPr>
          <w:i/>
        </w:rPr>
        <w:t>RRB Review</w:t>
      </w:r>
      <w:r w:rsidRPr="00B7636A">
        <w:t>.</w:t>
      </w:r>
    </w:p>
    <w:p w14:paraId="6043FC4B" w14:textId="77777777" w:rsidR="0096568A" w:rsidRPr="00133CD0" w:rsidRDefault="0096568A" w:rsidP="0096568A">
      <w:pPr>
        <w:pStyle w:val="NoSpacing"/>
        <w:ind w:firstLine="720"/>
      </w:pPr>
    </w:p>
    <w:p w14:paraId="2B32A602" w14:textId="77777777" w:rsidR="00133CD0" w:rsidRDefault="00133CD0" w:rsidP="00133CD0">
      <w:pPr>
        <w:pStyle w:val="NoSpacing"/>
      </w:pPr>
      <w:r w:rsidRPr="00133CD0">
        <w:t xml:space="preserve">Generally, research that does not propose to disrupt or manipulate participants' normal life experiences, or incorporate any form of intrusive procedures, may be declared exempt from </w:t>
      </w:r>
      <w:r w:rsidR="0096568A">
        <w:t>NWU-IRB</w:t>
      </w:r>
      <w:r w:rsidRPr="00133CD0">
        <w:t xml:space="preserve"> review.</w:t>
      </w:r>
      <w:r w:rsidR="005D046B">
        <w:t xml:space="preserve"> </w:t>
      </w:r>
      <w:r w:rsidRPr="00133CD0">
        <w:t xml:space="preserve">Research activities are exempt from the </w:t>
      </w:r>
      <w:r w:rsidR="0096568A">
        <w:t>NWU-IRB</w:t>
      </w:r>
      <w:r w:rsidRPr="00133CD0">
        <w:t xml:space="preserve"> review when the ONLY involvement of human participants falls within one or more of the following categories:</w:t>
      </w:r>
    </w:p>
    <w:p w14:paraId="51176F9F" w14:textId="77777777" w:rsidR="0096568A" w:rsidRDefault="0096568A" w:rsidP="00133CD0">
      <w:pPr>
        <w:pStyle w:val="NoSpacing"/>
      </w:pPr>
    </w:p>
    <w:p w14:paraId="0B21F8E3" w14:textId="77777777" w:rsidR="00ED3A80" w:rsidRDefault="00ED3A80" w:rsidP="00133CD0">
      <w:pPr>
        <w:pStyle w:val="NoSpacing"/>
        <w:rPr>
          <w:b/>
        </w:rPr>
      </w:pPr>
      <w:r>
        <w:rPr>
          <w:b/>
        </w:rPr>
        <w:t xml:space="preserve">Note: Research projects involving vulnerable populations or the collection of biological samples cannot be granted exemption. </w:t>
      </w:r>
    </w:p>
    <w:p w14:paraId="3155D2F0" w14:textId="77777777" w:rsidR="00ED3A80" w:rsidRDefault="00ED3A80" w:rsidP="00133CD0">
      <w:pPr>
        <w:pStyle w:val="NoSpacing"/>
        <w:rPr>
          <w:b/>
        </w:rPr>
      </w:pPr>
    </w:p>
    <w:p w14:paraId="448A1D0D" w14:textId="77777777" w:rsidR="001C3E3D" w:rsidRDefault="001C3E3D" w:rsidP="00133CD0">
      <w:pPr>
        <w:pStyle w:val="NoSpacing"/>
        <w:rPr>
          <w:b/>
        </w:rPr>
      </w:pPr>
      <w:r>
        <w:rPr>
          <w:b/>
        </w:rPr>
        <w:t>Categories for Exemption under 45 CFR 46.101b:</w:t>
      </w:r>
    </w:p>
    <w:p w14:paraId="018949BA" w14:textId="77777777" w:rsidR="001C3E3D" w:rsidRPr="00ED3A80" w:rsidRDefault="001C3E3D" w:rsidP="00133CD0">
      <w:pPr>
        <w:pStyle w:val="NoSpacing"/>
        <w:rPr>
          <w:b/>
        </w:rPr>
      </w:pPr>
    </w:p>
    <w:p w14:paraId="0ADE1B6C" w14:textId="77777777" w:rsidR="00CE7A45" w:rsidRDefault="00CE7A45" w:rsidP="00CE7A45">
      <w:pPr>
        <w:pStyle w:val="NoSpacing"/>
        <w:ind w:left="360" w:hanging="360"/>
      </w:pPr>
      <w:r>
        <w:t>1.</w:t>
      </w:r>
      <w:r>
        <w:tab/>
      </w:r>
      <w:r w:rsidR="00133CD0" w:rsidRPr="00133CD0">
        <w:t>Research conducted in established or commonly accepted educational settings, involvi</w:t>
      </w:r>
      <w:r>
        <w:t>ng normal educational practices, such as:</w:t>
      </w:r>
    </w:p>
    <w:p w14:paraId="05CEB037" w14:textId="77777777" w:rsidR="00CE7A45" w:rsidRDefault="00CE7A45" w:rsidP="001C3E3D">
      <w:pPr>
        <w:pStyle w:val="NoSpacing"/>
        <w:numPr>
          <w:ilvl w:val="1"/>
          <w:numId w:val="14"/>
        </w:numPr>
        <w:tabs>
          <w:tab w:val="clear" w:pos="1440"/>
        </w:tabs>
        <w:ind w:left="720"/>
      </w:pPr>
      <w:r w:rsidRPr="00CE7A45">
        <w:t xml:space="preserve">research on regular and special education instructional strategies, or </w:t>
      </w:r>
    </w:p>
    <w:p w14:paraId="654AF2E0" w14:textId="77777777" w:rsidR="00CE7A45" w:rsidRDefault="00CE7A45" w:rsidP="001C3E3D">
      <w:pPr>
        <w:pStyle w:val="NoSpacing"/>
        <w:numPr>
          <w:ilvl w:val="1"/>
          <w:numId w:val="14"/>
        </w:numPr>
        <w:tabs>
          <w:tab w:val="clear" w:pos="1440"/>
        </w:tabs>
        <w:ind w:left="720"/>
      </w:pPr>
      <w:r w:rsidRPr="00CE7A45">
        <w:t>research on the effectiveness of or the comparison among instructional techniques, curricula, or classroom management methods.</w:t>
      </w:r>
    </w:p>
    <w:p w14:paraId="0754691C" w14:textId="77777777" w:rsidR="00B7636A" w:rsidRDefault="00B7636A" w:rsidP="00B7636A">
      <w:pPr>
        <w:pStyle w:val="NoSpacing"/>
        <w:ind w:left="720"/>
      </w:pPr>
    </w:p>
    <w:p w14:paraId="4C511E5A" w14:textId="77777777" w:rsidR="00CE7A45" w:rsidRPr="00CE7A45" w:rsidRDefault="00CE7A45" w:rsidP="00CE7A45">
      <w:pPr>
        <w:pStyle w:val="NoSpacing"/>
        <w:ind w:left="360" w:hanging="360"/>
      </w:pPr>
      <w:r>
        <w:t xml:space="preserve">2. </w:t>
      </w:r>
      <w:r>
        <w:tab/>
      </w:r>
      <w:r w:rsidRPr="00CE7A45">
        <w:t>Research involving the use of educational tests (cognitive, diagnostic, aptitude, achievement), survey procedures, interview procedures</w:t>
      </w:r>
      <w:r w:rsidR="001D6790">
        <w:t>,</w:t>
      </w:r>
      <w:r w:rsidRPr="00CE7A45">
        <w:t xml:space="preserve"> or observation of public behavior, unless:</w:t>
      </w:r>
    </w:p>
    <w:p w14:paraId="5F0651F6" w14:textId="77777777" w:rsidR="00273720" w:rsidRDefault="00CE7A45" w:rsidP="001C3E3D">
      <w:pPr>
        <w:pStyle w:val="NoSpacing"/>
        <w:numPr>
          <w:ilvl w:val="2"/>
          <w:numId w:val="13"/>
        </w:numPr>
        <w:ind w:left="720"/>
      </w:pPr>
      <w:r w:rsidRPr="00CE7A45">
        <w:t>information obtained is recorded in such a manner that human subjects can be identified, directly or through identifiers linked to the subjects; and</w:t>
      </w:r>
    </w:p>
    <w:p w14:paraId="10834075" w14:textId="77777777" w:rsidR="00273720" w:rsidRPr="00133CD0" w:rsidRDefault="00CE7A45" w:rsidP="001C3E3D">
      <w:pPr>
        <w:pStyle w:val="NoSpacing"/>
        <w:numPr>
          <w:ilvl w:val="2"/>
          <w:numId w:val="13"/>
        </w:numPr>
        <w:ind w:left="720"/>
      </w:pPr>
      <w:r w:rsidRPr="00CE7A45">
        <w:t>any disclosure of the human subjects' responses outside the research could reasonably place the subjects at risk of criminal or civil liability or be damaging to the subjects' financial standin</w:t>
      </w:r>
      <w:r w:rsidR="00273720">
        <w:t>g, employability, or reputation</w:t>
      </w:r>
      <w:r w:rsidR="00273720" w:rsidRPr="00133CD0">
        <w:t>; and</w:t>
      </w:r>
    </w:p>
    <w:p w14:paraId="164C862C" w14:textId="77777777" w:rsidR="00CE7A45" w:rsidRPr="00B7636A" w:rsidRDefault="00273720" w:rsidP="001C3E3D">
      <w:pPr>
        <w:pStyle w:val="NoSpacing"/>
        <w:numPr>
          <w:ilvl w:val="2"/>
          <w:numId w:val="13"/>
        </w:numPr>
        <w:ind w:left="720"/>
      </w:pPr>
      <w:r w:rsidRPr="00B7636A">
        <w:t xml:space="preserve">the research deals with sensitive aspects of the participant's own behavior, such as illegal conduct, drug use, sexual behavior, and alcohol use. </w:t>
      </w:r>
    </w:p>
    <w:p w14:paraId="10C40C45" w14:textId="77777777" w:rsidR="0096568A" w:rsidRPr="00133CD0" w:rsidRDefault="0096568A" w:rsidP="0096568A">
      <w:pPr>
        <w:pStyle w:val="NoSpacing"/>
        <w:ind w:left="720"/>
      </w:pPr>
    </w:p>
    <w:p w14:paraId="4C177514" w14:textId="77777777" w:rsidR="00273720" w:rsidRDefault="00CE7A45" w:rsidP="00273720">
      <w:pPr>
        <w:pStyle w:val="NoSpacing"/>
        <w:ind w:left="360" w:hanging="360"/>
      </w:pPr>
      <w:r>
        <w:t>3.</w:t>
      </w:r>
      <w:r>
        <w:tab/>
      </w:r>
      <w:r w:rsidR="00273720">
        <w:t>Research involving the use of educational tests (cognitive, diagnostic, aptitude, achievement), survey procedures, interview procedures, or observation of public behavior that is not exempt under paragraph (b)(2) of this section, if:</w:t>
      </w:r>
      <w:r w:rsidR="00273720" w:rsidRPr="00273720">
        <w:t xml:space="preserve"> </w:t>
      </w:r>
    </w:p>
    <w:p w14:paraId="3AF35B14" w14:textId="77777777" w:rsidR="00D50872" w:rsidRDefault="00273720" w:rsidP="00D50872">
      <w:pPr>
        <w:pStyle w:val="NoSpacing"/>
        <w:numPr>
          <w:ilvl w:val="0"/>
          <w:numId w:val="15"/>
        </w:numPr>
        <w:ind w:left="720"/>
      </w:pPr>
      <w:r>
        <w:lastRenderedPageBreak/>
        <w:t xml:space="preserve">the human subjects are elected or appointed public officials or candidates for public office; or </w:t>
      </w:r>
    </w:p>
    <w:p w14:paraId="24F9EDCD" w14:textId="77777777" w:rsidR="0096568A" w:rsidRPr="00D50872" w:rsidRDefault="00273720" w:rsidP="00D50872">
      <w:pPr>
        <w:pStyle w:val="NoSpacing"/>
        <w:numPr>
          <w:ilvl w:val="0"/>
          <w:numId w:val="15"/>
        </w:numPr>
        <w:ind w:left="720"/>
      </w:pPr>
      <w:r>
        <w:t>federal statute(s) require(s) without exception that the confidentiality of the personally identifiable information will be maintained throughout the research and thereafter.</w:t>
      </w:r>
    </w:p>
    <w:p w14:paraId="23249BA7" w14:textId="77777777" w:rsidR="00ED3A80" w:rsidRDefault="00ED3A80" w:rsidP="00ED3A80">
      <w:pPr>
        <w:pStyle w:val="NoSpacing"/>
        <w:ind w:left="720"/>
      </w:pPr>
    </w:p>
    <w:p w14:paraId="4E7428C3" w14:textId="77777777" w:rsidR="00133CD0" w:rsidRDefault="00273720" w:rsidP="00273720">
      <w:pPr>
        <w:pStyle w:val="NoSpacing"/>
        <w:ind w:left="360" w:hanging="360"/>
      </w:pPr>
      <w:r>
        <w:t xml:space="preserve">4. </w:t>
      </w:r>
      <w:r>
        <w:tab/>
      </w:r>
      <w:r w:rsidR="00133CD0" w:rsidRPr="00133CD0">
        <w:t>Research involving the collection or study of existing data</w:t>
      </w:r>
      <w:r>
        <w:t>,</w:t>
      </w:r>
      <w:r w:rsidR="00133CD0" w:rsidRPr="00133CD0">
        <w:t xml:space="preserve"> documents, records, pathological specimens, or diagnostic specimens, if these sources are publicly available or if the information is recorded by the investigator in such a manner that participants cannot be identified, directly or through identifiers linked to the participants. </w:t>
      </w:r>
    </w:p>
    <w:p w14:paraId="594CAB89" w14:textId="77777777" w:rsidR="0096568A" w:rsidRPr="00133CD0" w:rsidRDefault="0096568A" w:rsidP="0096568A">
      <w:pPr>
        <w:pStyle w:val="NoSpacing"/>
        <w:ind w:left="720"/>
      </w:pPr>
    </w:p>
    <w:p w14:paraId="6D5D99C8" w14:textId="77777777" w:rsidR="00133CD0" w:rsidRPr="00133CD0" w:rsidRDefault="00273720" w:rsidP="00273720">
      <w:pPr>
        <w:pStyle w:val="NoSpacing"/>
        <w:ind w:left="360" w:hanging="360"/>
      </w:pPr>
      <w:r>
        <w:t>5.</w:t>
      </w:r>
      <w:r>
        <w:tab/>
      </w:r>
      <w:r w:rsidR="00133CD0" w:rsidRPr="00133CD0">
        <w:t>Research and demonstration projects which are conducted by or subject to the approval of department or agency heads, and which are designed to study, evaluate, or otherwise examine:</w:t>
      </w:r>
    </w:p>
    <w:p w14:paraId="3AE186E4" w14:textId="77777777" w:rsidR="00133CD0" w:rsidRPr="00133CD0" w:rsidRDefault="00133CD0" w:rsidP="001C3E3D">
      <w:pPr>
        <w:pStyle w:val="NoSpacing"/>
        <w:numPr>
          <w:ilvl w:val="0"/>
          <w:numId w:val="17"/>
        </w:numPr>
        <w:tabs>
          <w:tab w:val="clear" w:pos="1080"/>
        </w:tabs>
        <w:ind w:left="720"/>
      </w:pPr>
      <w:r w:rsidRPr="00133CD0">
        <w:t xml:space="preserve">public benefit </w:t>
      </w:r>
      <w:r w:rsidR="00FD5337">
        <w:t>or service programs;</w:t>
      </w:r>
    </w:p>
    <w:p w14:paraId="7900AEC5" w14:textId="77777777" w:rsidR="00133CD0" w:rsidRPr="00133CD0" w:rsidRDefault="00133CD0" w:rsidP="001C3E3D">
      <w:pPr>
        <w:pStyle w:val="NoSpacing"/>
        <w:numPr>
          <w:ilvl w:val="0"/>
          <w:numId w:val="17"/>
        </w:numPr>
        <w:tabs>
          <w:tab w:val="clear" w:pos="1080"/>
        </w:tabs>
        <w:ind w:left="720"/>
      </w:pPr>
      <w:r w:rsidRPr="00133CD0">
        <w:t>procedures for obtaining benefits o</w:t>
      </w:r>
      <w:r w:rsidR="00FD5337">
        <w:t>r services under those programs;</w:t>
      </w:r>
    </w:p>
    <w:p w14:paraId="2A3DA285" w14:textId="77777777" w:rsidR="00133CD0" w:rsidRPr="00133CD0" w:rsidRDefault="00133CD0" w:rsidP="001C3E3D">
      <w:pPr>
        <w:pStyle w:val="NoSpacing"/>
        <w:numPr>
          <w:ilvl w:val="0"/>
          <w:numId w:val="17"/>
        </w:numPr>
        <w:tabs>
          <w:tab w:val="clear" w:pos="1080"/>
        </w:tabs>
        <w:ind w:left="720"/>
      </w:pPr>
      <w:r w:rsidRPr="00133CD0">
        <w:t xml:space="preserve">possible changes in or alternatives </w:t>
      </w:r>
      <w:r w:rsidR="00FD5337">
        <w:t>to those programs or procedures; or</w:t>
      </w:r>
    </w:p>
    <w:p w14:paraId="199091F9" w14:textId="77777777" w:rsidR="00133CD0" w:rsidRPr="00133CD0" w:rsidRDefault="00133CD0" w:rsidP="001C3E3D">
      <w:pPr>
        <w:pStyle w:val="NoSpacing"/>
        <w:numPr>
          <w:ilvl w:val="0"/>
          <w:numId w:val="17"/>
        </w:numPr>
        <w:tabs>
          <w:tab w:val="clear" w:pos="1080"/>
        </w:tabs>
        <w:ind w:left="720"/>
      </w:pPr>
      <w:r w:rsidRPr="00133CD0">
        <w:t>possible changes in methods or levels of payment for benefits or services under those programs.</w:t>
      </w:r>
    </w:p>
    <w:p w14:paraId="5A3CC623" w14:textId="77777777" w:rsidR="00133CD0" w:rsidRPr="00133CD0" w:rsidRDefault="00133CD0" w:rsidP="00133CD0">
      <w:pPr>
        <w:pStyle w:val="NoSpacing"/>
      </w:pPr>
    </w:p>
    <w:p w14:paraId="688A0DE5" w14:textId="77777777" w:rsidR="00273720" w:rsidRPr="00133CD0" w:rsidRDefault="00273720" w:rsidP="00273720">
      <w:pPr>
        <w:pStyle w:val="NoSpacing"/>
        <w:ind w:left="360" w:hanging="360"/>
      </w:pPr>
      <w:r>
        <w:t>6.</w:t>
      </w:r>
      <w:r>
        <w:tab/>
      </w:r>
      <w:r w:rsidR="00133CD0" w:rsidRPr="00133CD0">
        <w:t>Taste and food quality evaluation and consumer acceptance studies if:</w:t>
      </w:r>
      <w:r w:rsidRPr="00273720">
        <w:t xml:space="preserve"> </w:t>
      </w:r>
    </w:p>
    <w:p w14:paraId="1343FA96" w14:textId="77777777" w:rsidR="00273720" w:rsidRDefault="00273720" w:rsidP="001C3E3D">
      <w:pPr>
        <w:pStyle w:val="NoSpacing"/>
        <w:numPr>
          <w:ilvl w:val="0"/>
          <w:numId w:val="18"/>
        </w:numPr>
        <w:tabs>
          <w:tab w:val="clear" w:pos="1080"/>
        </w:tabs>
        <w:ind w:left="720"/>
      </w:pPr>
      <w:r w:rsidRPr="00133CD0">
        <w:t>wholesome food without additives are consumed,</w:t>
      </w:r>
    </w:p>
    <w:p w14:paraId="31F111A7" w14:textId="77777777" w:rsidR="00273720" w:rsidRPr="00133CD0" w:rsidRDefault="00273720" w:rsidP="001C3E3D">
      <w:pPr>
        <w:pStyle w:val="NoSpacing"/>
        <w:numPr>
          <w:ilvl w:val="0"/>
          <w:numId w:val="18"/>
        </w:numPr>
        <w:tabs>
          <w:tab w:val="clear" w:pos="1080"/>
        </w:tabs>
        <w:ind w:left="720"/>
      </w:pPr>
      <w:r w:rsidRPr="00133CD0">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Inspection Service of the US Department of Agriculture.</w:t>
      </w:r>
    </w:p>
    <w:p w14:paraId="083F0040" w14:textId="77777777" w:rsidR="00B7636A" w:rsidRPr="00B7636A" w:rsidRDefault="00B7636A" w:rsidP="00B7636A">
      <w:pPr>
        <w:pStyle w:val="NoSpacing"/>
      </w:pPr>
    </w:p>
    <w:p w14:paraId="73F93CC9" w14:textId="77777777" w:rsidR="00133CD0" w:rsidRPr="00133CD0" w:rsidRDefault="00133CD0" w:rsidP="00133CD0">
      <w:pPr>
        <w:pStyle w:val="NoSpacing"/>
      </w:pPr>
    </w:p>
    <w:tbl>
      <w:tblPr>
        <w:tblW w:w="0" w:type="auto"/>
        <w:jc w:val="center"/>
        <w:tblBorders>
          <w:top w:val="thickThinLargeGap" w:sz="2" w:space="0" w:color="auto"/>
          <w:left w:val="thickThinLargeGap" w:sz="2" w:space="0" w:color="auto"/>
          <w:bottom w:val="thickThinLargeGap" w:sz="2" w:space="0" w:color="auto"/>
          <w:right w:val="thickThinLargeGap" w:sz="2" w:space="0" w:color="auto"/>
          <w:insideH w:val="thickThinLargeGap" w:sz="2" w:space="0" w:color="auto"/>
          <w:insideV w:val="thickThinLargeGap" w:sz="2" w:space="0" w:color="auto"/>
        </w:tblBorders>
        <w:tblLook w:val="01E0" w:firstRow="1" w:lastRow="1" w:firstColumn="1" w:lastColumn="1" w:noHBand="0" w:noVBand="0"/>
      </w:tblPr>
      <w:tblGrid>
        <w:gridCol w:w="7875"/>
      </w:tblGrid>
      <w:tr w:rsidR="00133CD0" w:rsidRPr="00133CD0" w14:paraId="6F4EABEA" w14:textId="77777777" w:rsidTr="003C487B">
        <w:trPr>
          <w:jc w:val="center"/>
        </w:trPr>
        <w:tc>
          <w:tcPr>
            <w:tcW w:w="7875" w:type="dxa"/>
            <w:vAlign w:val="center"/>
          </w:tcPr>
          <w:p w14:paraId="3B9DEB4C" w14:textId="77777777" w:rsidR="00133CD0" w:rsidRPr="00133CD0" w:rsidRDefault="00133CD0" w:rsidP="00133CD0">
            <w:pPr>
              <w:pStyle w:val="NoSpacing"/>
            </w:pPr>
          </w:p>
          <w:p w14:paraId="34589B40" w14:textId="77777777" w:rsidR="00133CD0" w:rsidRPr="00133CD0" w:rsidRDefault="00133CD0" w:rsidP="00133CD0">
            <w:pPr>
              <w:pStyle w:val="NoSpacing"/>
            </w:pPr>
            <w:r w:rsidRPr="00133CD0">
              <w:t>EXEMPTIONS DO NOT APPLY TO RESEARCH INVOLVING pregnant women, fetuses, human in vitro fertilization, and prisoners. Further, the exemption in item two, above DOES NOT APPLY TO CHILDREN, EXCEPT for research involving observations of public behavior when the researchers do not participate in the activities being observed.</w:t>
            </w:r>
          </w:p>
          <w:p w14:paraId="4648BB85" w14:textId="77777777" w:rsidR="00133CD0" w:rsidRPr="00133CD0" w:rsidRDefault="00133CD0" w:rsidP="00133CD0">
            <w:pPr>
              <w:pStyle w:val="NoSpacing"/>
            </w:pPr>
          </w:p>
        </w:tc>
      </w:tr>
    </w:tbl>
    <w:p w14:paraId="38261E9A" w14:textId="77777777" w:rsidR="00133CD0" w:rsidRPr="00133CD0" w:rsidRDefault="00133CD0" w:rsidP="00133CD0">
      <w:pPr>
        <w:pStyle w:val="NoSpacing"/>
      </w:pPr>
    </w:p>
    <w:p w14:paraId="2970D7AF" w14:textId="77777777" w:rsidR="000873DF" w:rsidRDefault="000873DF" w:rsidP="00133CD0">
      <w:pPr>
        <w:pStyle w:val="NoSpacing"/>
        <w:rPr>
          <w:b/>
          <w:bCs/>
        </w:rPr>
      </w:pPr>
    </w:p>
    <w:p w14:paraId="690F10F7" w14:textId="77777777" w:rsidR="00133CD0" w:rsidRDefault="0042716E" w:rsidP="00133CD0">
      <w:pPr>
        <w:pStyle w:val="NoSpacing"/>
        <w:rPr>
          <w:b/>
          <w:bCs/>
        </w:rPr>
      </w:pPr>
      <w:r>
        <w:rPr>
          <w:b/>
          <w:bCs/>
        </w:rPr>
        <w:t xml:space="preserve">NOTE: </w:t>
      </w:r>
      <w:r w:rsidRPr="00133CD0">
        <w:rPr>
          <w:b/>
          <w:bCs/>
        </w:rPr>
        <w:t>STUDENT INITIATED RESEARCH</w:t>
      </w:r>
    </w:p>
    <w:p w14:paraId="020ABD02" w14:textId="77777777" w:rsidR="0042716E" w:rsidRPr="00133CD0" w:rsidRDefault="0042716E" w:rsidP="00133CD0">
      <w:pPr>
        <w:pStyle w:val="NoSpacing"/>
        <w:rPr>
          <w:b/>
          <w:bCs/>
        </w:rPr>
      </w:pPr>
    </w:p>
    <w:p w14:paraId="7101B111" w14:textId="77777777" w:rsidR="009D65E0" w:rsidRDefault="00133CD0" w:rsidP="00133CD0">
      <w:pPr>
        <w:pStyle w:val="NoSpacing"/>
      </w:pPr>
      <w:r w:rsidRPr="00133CD0">
        <w:t xml:space="preserve">All </w:t>
      </w:r>
      <w:r w:rsidR="0096568A">
        <w:t>NWU-IRB</w:t>
      </w:r>
      <w:r w:rsidRPr="00133CD0">
        <w:t xml:space="preserve"> applications arising from student research will first be submitted to the student's</w:t>
      </w:r>
      <w:r w:rsidR="00D50872">
        <w:t xml:space="preserve"> research advisor. Following that,</w:t>
      </w:r>
      <w:r w:rsidRPr="00133CD0">
        <w:t xml:space="preserve"> the procedure will be the same as for faculty/staff research</w:t>
      </w:r>
      <w:r w:rsidR="00D50872">
        <w:t xml:space="preserve">.  </w:t>
      </w:r>
      <w:r w:rsidR="00D50872" w:rsidRPr="00D50872">
        <w:rPr>
          <w:b/>
        </w:rPr>
        <w:t>O</w:t>
      </w:r>
      <w:r w:rsidR="00D50872">
        <w:rPr>
          <w:b/>
          <w:bCs/>
        </w:rPr>
        <w:t>ne electronic file</w:t>
      </w:r>
      <w:r w:rsidRPr="00133CD0">
        <w:rPr>
          <w:b/>
          <w:bCs/>
        </w:rPr>
        <w:t xml:space="preserve"> </w:t>
      </w:r>
      <w:r w:rsidR="00D50872">
        <w:rPr>
          <w:b/>
          <w:bCs/>
        </w:rPr>
        <w:t xml:space="preserve">(PDF format) including the application and all supporting documents </w:t>
      </w:r>
      <w:r w:rsidR="00D50872" w:rsidRPr="00D50872">
        <w:rPr>
          <w:bCs/>
        </w:rPr>
        <w:t xml:space="preserve">will be </w:t>
      </w:r>
      <w:r w:rsidRPr="00D50872">
        <w:rPr>
          <w:bCs/>
        </w:rPr>
        <w:t>submitted</w:t>
      </w:r>
      <w:r w:rsidRPr="00133CD0">
        <w:t xml:space="preserve"> to </w:t>
      </w:r>
      <w:r w:rsidR="00D50872">
        <w:t xml:space="preserve">NWU-IRB Coordinator, </w:t>
      </w:r>
      <w:r w:rsidR="009D65E0">
        <w:t>Stephanie Plummer</w:t>
      </w:r>
      <w:r w:rsidRPr="00133CD0">
        <w:t>,</w:t>
      </w:r>
      <w:r w:rsidR="009D65E0">
        <w:t xml:space="preserve"> </w:t>
      </w:r>
      <w:hyperlink r:id="rId11" w:history="1">
        <w:r w:rsidR="009D65E0" w:rsidRPr="006C7946">
          <w:rPr>
            <w:rStyle w:val="Hyperlink"/>
          </w:rPr>
          <w:t>nwuprovost@nebrwesleyan.edu</w:t>
        </w:r>
      </w:hyperlink>
      <w:r w:rsidR="009D65E0">
        <w:t>.</w:t>
      </w:r>
    </w:p>
    <w:p w14:paraId="68F2D3FC" w14:textId="77777777" w:rsidR="00D50872" w:rsidRDefault="00D50872" w:rsidP="00133CD0">
      <w:pPr>
        <w:pStyle w:val="NoSpacing"/>
      </w:pPr>
    </w:p>
    <w:p w14:paraId="46BB5039" w14:textId="77777777" w:rsidR="00133CD0" w:rsidRPr="00133CD0" w:rsidRDefault="00D50872" w:rsidP="00133CD0">
      <w:pPr>
        <w:pStyle w:val="NoSpacing"/>
      </w:pPr>
      <w:r>
        <w:t>For student projects, a</w:t>
      </w:r>
      <w:r w:rsidR="00133CD0" w:rsidRPr="00133CD0">
        <w:t xml:space="preserve">ll </w:t>
      </w:r>
      <w:r w:rsidR="0096568A">
        <w:t>NWU-IRB</w:t>
      </w:r>
      <w:r w:rsidR="00133CD0" w:rsidRPr="00133CD0">
        <w:t xml:space="preserve"> communication </w:t>
      </w:r>
      <w:r>
        <w:t xml:space="preserve">will be directed </w:t>
      </w:r>
      <w:r w:rsidR="00133CD0" w:rsidRPr="00133CD0">
        <w:t>to</w:t>
      </w:r>
      <w:bookmarkStart w:id="0" w:name="_GoBack"/>
      <w:bookmarkEnd w:id="0"/>
      <w:r w:rsidR="00133CD0" w:rsidRPr="00133CD0">
        <w:t xml:space="preserve"> the student's research advisor. The </w:t>
      </w:r>
      <w:r w:rsidR="0096568A">
        <w:t>NWU-IRB</w:t>
      </w:r>
      <w:r w:rsidR="00133CD0" w:rsidRPr="00133CD0">
        <w:t xml:space="preserve"> will communicate directly with the student's research advisor. It is the responsibility of the research advisor to communicate with and work with the student if any changes or clarifications are necessary. </w:t>
      </w:r>
    </w:p>
    <w:p w14:paraId="1B018735" w14:textId="77777777" w:rsidR="00133CD0" w:rsidRPr="00133CD0" w:rsidRDefault="00133CD0" w:rsidP="00133CD0">
      <w:pPr>
        <w:pStyle w:val="NoSpacing"/>
      </w:pPr>
    </w:p>
    <w:p w14:paraId="24ACB055" w14:textId="77777777" w:rsidR="00133CD0" w:rsidRPr="00133CD0" w:rsidRDefault="000873DF" w:rsidP="00B7636A">
      <w:pPr>
        <w:rPr>
          <w:b/>
        </w:rPr>
      </w:pPr>
      <w:r>
        <w:rPr>
          <w:b/>
        </w:rPr>
        <w:br w:type="page"/>
      </w:r>
      <w:r w:rsidR="00EC517A">
        <w:rPr>
          <w:b/>
        </w:rPr>
        <w:lastRenderedPageBreak/>
        <w:t xml:space="preserve">CHECKLIST FOR </w:t>
      </w:r>
      <w:r w:rsidR="00133CD0" w:rsidRPr="00133CD0">
        <w:rPr>
          <w:b/>
        </w:rPr>
        <w:t>COMPONENTS OF A COMPLETE PROTOCOL</w:t>
      </w:r>
      <w:r w:rsidR="00EC517A">
        <w:rPr>
          <w:b/>
        </w:rPr>
        <w:t xml:space="preserve"> REVIEW</w:t>
      </w:r>
      <w:r w:rsidR="00133CD0" w:rsidRPr="00133CD0">
        <w:rPr>
          <w:b/>
        </w:rPr>
        <w:t xml:space="preserve"> APPLICATION</w:t>
      </w:r>
    </w:p>
    <w:p w14:paraId="0FF56993" w14:textId="77777777" w:rsidR="00133CD0" w:rsidRPr="00133CD0" w:rsidRDefault="00133CD0" w:rsidP="00133CD0">
      <w:pPr>
        <w:pStyle w:val="NoSpacing"/>
        <w:rPr>
          <w:b/>
        </w:rPr>
      </w:pPr>
    </w:p>
    <w:p w14:paraId="54DFE4D3" w14:textId="77777777" w:rsidR="00EC517A" w:rsidRDefault="00EC517A" w:rsidP="00EC517A">
      <w:pPr>
        <w:pStyle w:val="NoSpacing"/>
        <w:ind w:left="720" w:hanging="720"/>
      </w:pPr>
      <w:r w:rsidRPr="00133CD0">
        <w:fldChar w:fldCharType="begin">
          <w:ffData>
            <w:name w:val="Check1"/>
            <w:enabled/>
            <w:calcOnExit w:val="0"/>
            <w:checkBox>
              <w:sizeAuto/>
              <w:default w:val="0"/>
            </w:checkBox>
          </w:ffData>
        </w:fldChar>
      </w:r>
      <w:r w:rsidRPr="00133CD0">
        <w:instrText xml:space="preserve"> FORMCHECKBOX </w:instrText>
      </w:r>
      <w:r w:rsidR="009D65E0">
        <w:fldChar w:fldCharType="separate"/>
      </w:r>
      <w:r w:rsidRPr="00133CD0">
        <w:fldChar w:fldCharType="end"/>
      </w:r>
      <w:r w:rsidRPr="00133CD0">
        <w:tab/>
        <w:t xml:space="preserve">Complete the training module available at </w:t>
      </w:r>
      <w:hyperlink r:id="rId12" w:history="1">
        <w:r w:rsidRPr="00133CD0">
          <w:rPr>
            <w:rStyle w:val="Hyperlink"/>
          </w:rPr>
          <w:t>http://phrp.nihtraining.com</w:t>
        </w:r>
      </w:hyperlink>
      <w:r w:rsidRPr="00133CD0">
        <w:t xml:space="preserve"> and submit</w:t>
      </w:r>
      <w:r>
        <w:t xml:space="preserve"> a copy of</w:t>
      </w:r>
      <w:r w:rsidRPr="00133CD0">
        <w:t xml:space="preserve"> the certificate provided.</w:t>
      </w:r>
    </w:p>
    <w:p w14:paraId="2C5A43E0" w14:textId="77777777" w:rsidR="00EC517A" w:rsidRPr="00133CD0" w:rsidRDefault="00EC517A" w:rsidP="00EC517A">
      <w:pPr>
        <w:pStyle w:val="NoSpacing"/>
        <w:ind w:left="720" w:hanging="720"/>
      </w:pPr>
    </w:p>
    <w:p w14:paraId="1DEABE52" w14:textId="77777777" w:rsidR="00133CD0" w:rsidRDefault="00133CD0" w:rsidP="00D50872">
      <w:pPr>
        <w:pStyle w:val="NoSpacing"/>
        <w:ind w:left="720" w:hanging="720"/>
      </w:pPr>
      <w:r w:rsidRPr="00133CD0">
        <w:fldChar w:fldCharType="begin">
          <w:ffData>
            <w:name w:val=""/>
            <w:enabled/>
            <w:calcOnExit w:val="0"/>
            <w:checkBox>
              <w:sizeAuto/>
              <w:default w:val="0"/>
            </w:checkBox>
          </w:ffData>
        </w:fldChar>
      </w:r>
      <w:r w:rsidRPr="00133CD0">
        <w:instrText xml:space="preserve"> FORMCHECKBOX </w:instrText>
      </w:r>
      <w:r w:rsidR="009D65E0">
        <w:fldChar w:fldCharType="separate"/>
      </w:r>
      <w:r w:rsidRPr="00133CD0">
        <w:fldChar w:fldCharType="end"/>
      </w:r>
      <w:r w:rsidR="00EC517A">
        <w:tab/>
        <w:t>Determine</w:t>
      </w:r>
      <w:r w:rsidRPr="00133CD0">
        <w:t xml:space="preserve"> the appropriate Exempt Review category/categories</w:t>
      </w:r>
      <w:r w:rsidR="00EC517A">
        <w:t>, and note on application</w:t>
      </w:r>
      <w:r w:rsidRPr="00133CD0">
        <w:t>.</w:t>
      </w:r>
    </w:p>
    <w:p w14:paraId="51941060" w14:textId="77777777" w:rsidR="00EC517A" w:rsidRPr="00133CD0" w:rsidRDefault="00EC517A" w:rsidP="00133CD0">
      <w:pPr>
        <w:pStyle w:val="NoSpacing"/>
        <w:rPr>
          <w:u w:val="single"/>
        </w:rPr>
      </w:pPr>
    </w:p>
    <w:p w14:paraId="384522BE" w14:textId="77777777" w:rsidR="000873DF" w:rsidRDefault="00133CD0" w:rsidP="00D50872">
      <w:pPr>
        <w:pStyle w:val="NoSpacing"/>
        <w:ind w:left="720" w:hanging="720"/>
        <w:rPr>
          <w:u w:val="single"/>
        </w:rPr>
      </w:pPr>
      <w:r w:rsidRPr="00133CD0">
        <w:fldChar w:fldCharType="begin">
          <w:ffData>
            <w:name w:val="Check1"/>
            <w:enabled/>
            <w:calcOnExit w:val="0"/>
            <w:checkBox>
              <w:sizeAuto/>
              <w:default w:val="0"/>
            </w:checkBox>
          </w:ffData>
        </w:fldChar>
      </w:r>
      <w:r w:rsidRPr="00133CD0">
        <w:instrText xml:space="preserve"> FORMCHECKBOX </w:instrText>
      </w:r>
      <w:r w:rsidR="009D65E0">
        <w:fldChar w:fldCharType="separate"/>
      </w:r>
      <w:r w:rsidRPr="00133CD0">
        <w:fldChar w:fldCharType="end"/>
      </w:r>
      <w:r w:rsidRPr="00133CD0">
        <w:tab/>
      </w:r>
      <w:r w:rsidR="000873DF">
        <w:t xml:space="preserve">Complete the </w:t>
      </w:r>
      <w:r w:rsidR="00EC517A">
        <w:rPr>
          <w:b/>
        </w:rPr>
        <w:t xml:space="preserve">Application for </w:t>
      </w:r>
      <w:r w:rsidR="000873DF" w:rsidRPr="000873DF">
        <w:rPr>
          <w:b/>
        </w:rPr>
        <w:t xml:space="preserve">NWU-IRB </w:t>
      </w:r>
      <w:r w:rsidR="00EC517A">
        <w:rPr>
          <w:b/>
        </w:rPr>
        <w:t xml:space="preserve">Protocol </w:t>
      </w:r>
      <w:r w:rsidR="000873DF" w:rsidRPr="000873DF">
        <w:rPr>
          <w:b/>
        </w:rPr>
        <w:t>Review</w:t>
      </w:r>
      <w:r w:rsidR="00EC517A">
        <w:rPr>
          <w:b/>
        </w:rPr>
        <w:t>, and check the box for Exempt category</w:t>
      </w:r>
      <w:r w:rsidRPr="00133CD0">
        <w:t>.</w:t>
      </w:r>
      <w:r w:rsidR="000873DF" w:rsidRPr="000873DF">
        <w:rPr>
          <w:u w:val="single"/>
        </w:rPr>
        <w:t xml:space="preserve"> </w:t>
      </w:r>
    </w:p>
    <w:p w14:paraId="4F52B421" w14:textId="77777777" w:rsidR="00EC517A" w:rsidRPr="000873DF" w:rsidRDefault="00EC517A" w:rsidP="000873DF">
      <w:pPr>
        <w:pStyle w:val="NoSpacing"/>
        <w:rPr>
          <w:u w:val="single"/>
        </w:rPr>
      </w:pPr>
    </w:p>
    <w:p w14:paraId="32D53F6A" w14:textId="77777777" w:rsidR="00133CD0" w:rsidRDefault="000873DF" w:rsidP="00D50872">
      <w:pPr>
        <w:pStyle w:val="NoSpacing"/>
        <w:ind w:left="720" w:hanging="720"/>
      </w:pPr>
      <w:r w:rsidRPr="000873DF">
        <w:fldChar w:fldCharType="begin">
          <w:ffData>
            <w:name w:val="Check1"/>
            <w:enabled/>
            <w:calcOnExit w:val="0"/>
            <w:checkBox>
              <w:sizeAuto/>
              <w:default w:val="0"/>
            </w:checkBox>
          </w:ffData>
        </w:fldChar>
      </w:r>
      <w:r w:rsidRPr="000873DF">
        <w:instrText xml:space="preserve"> FORMCHECKBOX </w:instrText>
      </w:r>
      <w:r w:rsidR="009D65E0">
        <w:fldChar w:fldCharType="separate"/>
      </w:r>
      <w:r w:rsidRPr="000873DF">
        <w:fldChar w:fldCharType="end"/>
      </w:r>
      <w:r w:rsidRPr="000873DF">
        <w:tab/>
        <w:t>Obtain needed signatures: Principal Investigator(s), Faculty Advisor, etc.</w:t>
      </w:r>
    </w:p>
    <w:p w14:paraId="39EE8ECA" w14:textId="77777777" w:rsidR="00EC517A" w:rsidRPr="00133CD0" w:rsidRDefault="00EC517A" w:rsidP="00133CD0">
      <w:pPr>
        <w:pStyle w:val="NoSpacing"/>
      </w:pPr>
    </w:p>
    <w:p w14:paraId="0FE8A797" w14:textId="77777777" w:rsidR="00133CD0" w:rsidRPr="00133CD0" w:rsidRDefault="00133CD0" w:rsidP="000873DF">
      <w:pPr>
        <w:pStyle w:val="NoSpacing"/>
        <w:ind w:left="720" w:hanging="720"/>
      </w:pPr>
      <w:r w:rsidRPr="00133CD0">
        <w:fldChar w:fldCharType="begin">
          <w:ffData>
            <w:name w:val="Check1"/>
            <w:enabled/>
            <w:calcOnExit w:val="0"/>
            <w:checkBox>
              <w:sizeAuto/>
              <w:default w:val="0"/>
            </w:checkBox>
          </w:ffData>
        </w:fldChar>
      </w:r>
      <w:r w:rsidRPr="00133CD0">
        <w:instrText xml:space="preserve"> FORMCHECKBOX </w:instrText>
      </w:r>
      <w:r w:rsidR="009D65E0">
        <w:fldChar w:fldCharType="separate"/>
      </w:r>
      <w:r w:rsidRPr="00133CD0">
        <w:fldChar w:fldCharType="end"/>
      </w:r>
      <w:r w:rsidRPr="00133CD0">
        <w:tab/>
        <w:t>As applicable, subm</w:t>
      </w:r>
      <w:r w:rsidR="000873DF">
        <w:t>it a permission letter from any</w:t>
      </w:r>
      <w:r w:rsidRPr="00133CD0">
        <w:t xml:space="preserve"> performance site</w:t>
      </w:r>
      <w:r w:rsidR="000873DF">
        <w:t>s or other outside organizations involved in your research</w:t>
      </w:r>
      <w:r w:rsidRPr="00133CD0">
        <w:t>.</w:t>
      </w:r>
    </w:p>
    <w:p w14:paraId="6B71F4EA" w14:textId="77777777" w:rsidR="00133CD0" w:rsidRDefault="00133CD0" w:rsidP="00EC517A">
      <w:pPr>
        <w:pStyle w:val="NoSpacing"/>
        <w:ind w:left="1080" w:hanging="360"/>
      </w:pPr>
      <w:r w:rsidRPr="00133CD0">
        <w:tab/>
      </w:r>
      <w:r w:rsidR="00EC517A">
        <w:t xml:space="preserve">Note: </w:t>
      </w:r>
      <w:r w:rsidRPr="00133CD0">
        <w:t xml:space="preserve">Approval for specific performance sites will be granted on a site-by-site basis as the permission letters are received and approved by the </w:t>
      </w:r>
      <w:r w:rsidR="0096568A">
        <w:t>NWU-IRB</w:t>
      </w:r>
      <w:r w:rsidRPr="00133CD0">
        <w:t>.</w:t>
      </w:r>
    </w:p>
    <w:p w14:paraId="0DCDA388" w14:textId="77777777" w:rsidR="00EC517A" w:rsidRPr="00133CD0" w:rsidRDefault="00EC517A" w:rsidP="000873DF">
      <w:pPr>
        <w:pStyle w:val="NoSpacing"/>
        <w:ind w:left="1440" w:hanging="720"/>
      </w:pPr>
    </w:p>
    <w:p w14:paraId="250748E3" w14:textId="77777777" w:rsidR="00133CD0" w:rsidRDefault="00133CD0" w:rsidP="000873DF">
      <w:pPr>
        <w:pStyle w:val="NoSpacing"/>
        <w:ind w:left="720" w:hanging="720"/>
      </w:pPr>
      <w:r w:rsidRPr="00133CD0">
        <w:fldChar w:fldCharType="begin">
          <w:ffData>
            <w:name w:val="Check1"/>
            <w:enabled/>
            <w:calcOnExit w:val="0"/>
            <w:checkBox>
              <w:sizeAuto/>
              <w:default w:val="0"/>
            </w:checkBox>
          </w:ffData>
        </w:fldChar>
      </w:r>
      <w:r w:rsidRPr="00133CD0">
        <w:instrText xml:space="preserve"> FORMCHECKBOX </w:instrText>
      </w:r>
      <w:r w:rsidR="009D65E0">
        <w:fldChar w:fldCharType="separate"/>
      </w:r>
      <w:r w:rsidRPr="00133CD0">
        <w:fldChar w:fldCharType="end"/>
      </w:r>
      <w:r w:rsidRPr="00133CD0">
        <w:tab/>
        <w:t xml:space="preserve">Submit copies of all recruitment materials, such as fliers, newspaper ads, brochures, posters.  They must be approved by the </w:t>
      </w:r>
      <w:r w:rsidR="0096568A">
        <w:t>NWU-IRB</w:t>
      </w:r>
      <w:r w:rsidRPr="00133CD0">
        <w:t xml:space="preserve"> </w:t>
      </w:r>
      <w:r w:rsidRPr="00133CD0">
        <w:rPr>
          <w:u w:val="single"/>
        </w:rPr>
        <w:t>prior to use</w:t>
      </w:r>
      <w:r w:rsidRPr="00133CD0">
        <w:t>.</w:t>
      </w:r>
    </w:p>
    <w:p w14:paraId="2383F3F3" w14:textId="77777777" w:rsidR="00EC517A" w:rsidRPr="00133CD0" w:rsidRDefault="00EC517A" w:rsidP="000873DF">
      <w:pPr>
        <w:pStyle w:val="NoSpacing"/>
        <w:ind w:left="720" w:hanging="720"/>
      </w:pPr>
    </w:p>
    <w:p w14:paraId="18326FB2" w14:textId="77777777" w:rsidR="000873DF" w:rsidRDefault="000873DF" w:rsidP="000873DF">
      <w:pPr>
        <w:pStyle w:val="NoSpacing"/>
      </w:pPr>
      <w:r w:rsidRPr="000873DF">
        <w:fldChar w:fldCharType="begin">
          <w:ffData>
            <w:name w:val="Check1"/>
            <w:enabled/>
            <w:calcOnExit w:val="0"/>
            <w:checkBox>
              <w:sizeAuto/>
              <w:default w:val="0"/>
            </w:checkBox>
          </w:ffData>
        </w:fldChar>
      </w:r>
      <w:r w:rsidRPr="000873DF">
        <w:instrText xml:space="preserve"> FORMCHECKBOX </w:instrText>
      </w:r>
      <w:r w:rsidR="009D65E0">
        <w:fldChar w:fldCharType="separate"/>
      </w:r>
      <w:r w:rsidRPr="000873DF">
        <w:fldChar w:fldCharType="end"/>
      </w:r>
      <w:r w:rsidRPr="000873DF">
        <w:tab/>
        <w:t xml:space="preserve">Submit copies of all informed consent forms. </w:t>
      </w:r>
    </w:p>
    <w:p w14:paraId="61F3BEE7" w14:textId="77777777" w:rsidR="00EC517A" w:rsidRPr="000873DF" w:rsidRDefault="00EC517A" w:rsidP="000873DF">
      <w:pPr>
        <w:pStyle w:val="NoSpacing"/>
      </w:pPr>
    </w:p>
    <w:p w14:paraId="5EEF8972" w14:textId="77777777" w:rsidR="000873DF" w:rsidRDefault="000873DF" w:rsidP="00D50872">
      <w:pPr>
        <w:pStyle w:val="NoSpacing"/>
        <w:ind w:left="720" w:hanging="720"/>
      </w:pPr>
      <w:r w:rsidRPr="000873DF">
        <w:fldChar w:fldCharType="begin">
          <w:ffData>
            <w:name w:val="Check1"/>
            <w:enabled/>
            <w:calcOnExit w:val="0"/>
            <w:checkBox>
              <w:sizeAuto/>
              <w:default w:val="0"/>
            </w:checkBox>
          </w:ffData>
        </w:fldChar>
      </w:r>
      <w:r w:rsidRPr="000873DF">
        <w:instrText xml:space="preserve"> FORMCHECKBOX </w:instrText>
      </w:r>
      <w:r w:rsidR="009D65E0">
        <w:fldChar w:fldCharType="separate"/>
      </w:r>
      <w:r w:rsidRPr="000873DF">
        <w:fldChar w:fldCharType="end"/>
      </w:r>
      <w:r w:rsidRPr="000873DF">
        <w:tab/>
        <w:t>Submit copies of all survey instruments, questionnaires, or any other such data collection materials.</w:t>
      </w:r>
    </w:p>
    <w:p w14:paraId="2678B8FA" w14:textId="77777777" w:rsidR="006C5FE9" w:rsidRPr="00133CD0" w:rsidRDefault="006C5FE9" w:rsidP="006C5FE9">
      <w:pPr>
        <w:pStyle w:val="NoSpacing"/>
        <w:ind w:left="720" w:hanging="720"/>
      </w:pPr>
    </w:p>
    <w:p w14:paraId="005D0B24" w14:textId="77777777" w:rsidR="006C5FE9" w:rsidRDefault="006C5FE9" w:rsidP="006C5FE9">
      <w:pPr>
        <w:pStyle w:val="NoSpacing"/>
      </w:pPr>
      <w:r w:rsidRPr="000873DF">
        <w:fldChar w:fldCharType="begin">
          <w:ffData>
            <w:name w:val="Check1"/>
            <w:enabled/>
            <w:calcOnExit w:val="0"/>
            <w:checkBox>
              <w:sizeAuto/>
              <w:default w:val="0"/>
            </w:checkBox>
          </w:ffData>
        </w:fldChar>
      </w:r>
      <w:r w:rsidRPr="000873DF">
        <w:instrText xml:space="preserve"> FORMCHECKBOX </w:instrText>
      </w:r>
      <w:r w:rsidR="009D65E0">
        <w:fldChar w:fldCharType="separate"/>
      </w:r>
      <w:r w:rsidRPr="000873DF">
        <w:fldChar w:fldCharType="end"/>
      </w:r>
      <w:r>
        <w:tab/>
        <w:t>Include a Reference List for academic studies cited</w:t>
      </w:r>
      <w:r w:rsidRPr="000873DF">
        <w:t xml:space="preserve">. </w:t>
      </w:r>
    </w:p>
    <w:p w14:paraId="0C812006" w14:textId="77777777" w:rsidR="006C5FE9" w:rsidRPr="000873DF" w:rsidRDefault="006C5FE9" w:rsidP="00D50872">
      <w:pPr>
        <w:pStyle w:val="NoSpacing"/>
        <w:ind w:left="720" w:hanging="720"/>
      </w:pPr>
    </w:p>
    <w:p w14:paraId="50B645A5" w14:textId="77777777" w:rsidR="00133CD0" w:rsidRDefault="00133CD0" w:rsidP="00133CD0">
      <w:pPr>
        <w:pStyle w:val="NoSpacing"/>
      </w:pPr>
    </w:p>
    <w:p w14:paraId="7B9AAD62" w14:textId="77777777" w:rsidR="00B7636A" w:rsidRDefault="00B7636A" w:rsidP="00133CD0">
      <w:pPr>
        <w:pStyle w:val="NoSpacing"/>
      </w:pPr>
    </w:p>
    <w:p w14:paraId="77FA9371" w14:textId="77777777" w:rsidR="00B7636A" w:rsidRPr="00B7636A" w:rsidRDefault="00B7636A" w:rsidP="00B7636A">
      <w:pPr>
        <w:pStyle w:val="NoSpacing"/>
      </w:pPr>
    </w:p>
    <w:p w14:paraId="62F74637" w14:textId="77777777" w:rsidR="00B7636A" w:rsidRPr="00133CD0" w:rsidRDefault="00B7636A" w:rsidP="00133CD0">
      <w:pPr>
        <w:pStyle w:val="NoSpacing"/>
      </w:pPr>
    </w:p>
    <w:sectPr w:rsidR="00B7636A" w:rsidRPr="00133CD0" w:rsidSect="002326C7">
      <w:footerReference w:type="default" r:id="rId13"/>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1E18" w14:textId="77777777" w:rsidR="00813E01" w:rsidRDefault="00813E01" w:rsidP="002326C7">
      <w:pPr>
        <w:spacing w:after="0" w:line="240" w:lineRule="auto"/>
      </w:pPr>
      <w:r>
        <w:separator/>
      </w:r>
    </w:p>
  </w:endnote>
  <w:endnote w:type="continuationSeparator" w:id="0">
    <w:p w14:paraId="4FE06C8E" w14:textId="77777777" w:rsidR="00813E01" w:rsidRDefault="00813E01" w:rsidP="0023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92024"/>
      <w:docPartObj>
        <w:docPartGallery w:val="Page Numbers (Bottom of Page)"/>
        <w:docPartUnique/>
      </w:docPartObj>
    </w:sdtPr>
    <w:sdtEndPr/>
    <w:sdtContent>
      <w:sdt>
        <w:sdtPr>
          <w:id w:val="-1705238520"/>
          <w:docPartObj>
            <w:docPartGallery w:val="Page Numbers (Top of Page)"/>
            <w:docPartUnique/>
          </w:docPartObj>
        </w:sdtPr>
        <w:sdtEndPr/>
        <w:sdtContent>
          <w:p w14:paraId="039901EB" w14:textId="77777777" w:rsidR="002326C7" w:rsidRPr="002326C7" w:rsidRDefault="002326C7" w:rsidP="002326C7">
            <w:pPr>
              <w:pStyle w:val="Footer"/>
              <w:jc w:val="right"/>
              <w:rPr>
                <w:sz w:val="18"/>
                <w:szCs w:val="18"/>
              </w:rPr>
            </w:pPr>
            <w:r w:rsidRPr="002326C7">
              <w:rPr>
                <w:sz w:val="18"/>
                <w:szCs w:val="18"/>
              </w:rPr>
              <w:t xml:space="preserve">NWU-IRB </w:t>
            </w:r>
            <w:r w:rsidR="005F27D7">
              <w:rPr>
                <w:sz w:val="18"/>
                <w:szCs w:val="18"/>
              </w:rPr>
              <w:t>Categories</w:t>
            </w:r>
            <w:r w:rsidR="00133CD0">
              <w:rPr>
                <w:sz w:val="18"/>
                <w:szCs w:val="18"/>
              </w:rPr>
              <w:t xml:space="preserve"> for </w:t>
            </w:r>
            <w:r w:rsidRPr="002326C7">
              <w:rPr>
                <w:sz w:val="18"/>
                <w:szCs w:val="18"/>
              </w:rPr>
              <w:t xml:space="preserve">Exempt Application </w:t>
            </w:r>
            <w:r w:rsidR="00133CD0">
              <w:rPr>
                <w:sz w:val="18"/>
                <w:szCs w:val="18"/>
              </w:rPr>
              <w:t xml:space="preserve">(last updated </w:t>
            </w:r>
            <w:r w:rsidR="009D65E0">
              <w:rPr>
                <w:sz w:val="18"/>
                <w:szCs w:val="18"/>
              </w:rPr>
              <w:t>September, 2018</w:t>
            </w:r>
            <w:r w:rsidRPr="002326C7">
              <w:rPr>
                <w:sz w:val="18"/>
                <w:szCs w:val="18"/>
              </w:rPr>
              <w:t>)</w:t>
            </w:r>
          </w:p>
          <w:p w14:paraId="1FEB4A66" w14:textId="77777777" w:rsidR="002326C7" w:rsidRDefault="002326C7" w:rsidP="002326C7">
            <w:pPr>
              <w:pStyle w:val="Footer"/>
              <w:jc w:val="right"/>
            </w:pPr>
            <w:r w:rsidRPr="002326C7">
              <w:rPr>
                <w:sz w:val="18"/>
                <w:szCs w:val="18"/>
              </w:rPr>
              <w:t xml:space="preserve">Page </w:t>
            </w:r>
            <w:r w:rsidRPr="002326C7">
              <w:rPr>
                <w:b/>
                <w:bCs/>
                <w:sz w:val="18"/>
                <w:szCs w:val="18"/>
              </w:rPr>
              <w:fldChar w:fldCharType="begin"/>
            </w:r>
            <w:r w:rsidRPr="002326C7">
              <w:rPr>
                <w:b/>
                <w:bCs/>
                <w:sz w:val="18"/>
                <w:szCs w:val="18"/>
              </w:rPr>
              <w:instrText xml:space="preserve"> PAGE </w:instrText>
            </w:r>
            <w:r w:rsidRPr="002326C7">
              <w:rPr>
                <w:b/>
                <w:bCs/>
                <w:sz w:val="18"/>
                <w:szCs w:val="18"/>
              </w:rPr>
              <w:fldChar w:fldCharType="separate"/>
            </w:r>
            <w:r w:rsidR="009D65E0">
              <w:rPr>
                <w:b/>
                <w:bCs/>
                <w:noProof/>
                <w:sz w:val="18"/>
                <w:szCs w:val="18"/>
              </w:rPr>
              <w:t>1</w:t>
            </w:r>
            <w:r w:rsidRPr="002326C7">
              <w:rPr>
                <w:b/>
                <w:bCs/>
                <w:sz w:val="18"/>
                <w:szCs w:val="18"/>
              </w:rPr>
              <w:fldChar w:fldCharType="end"/>
            </w:r>
            <w:r w:rsidRPr="002326C7">
              <w:rPr>
                <w:sz w:val="18"/>
                <w:szCs w:val="18"/>
              </w:rPr>
              <w:t xml:space="preserve"> of </w:t>
            </w:r>
            <w:r w:rsidRPr="002326C7">
              <w:rPr>
                <w:b/>
                <w:bCs/>
                <w:sz w:val="18"/>
                <w:szCs w:val="18"/>
              </w:rPr>
              <w:fldChar w:fldCharType="begin"/>
            </w:r>
            <w:r w:rsidRPr="002326C7">
              <w:rPr>
                <w:b/>
                <w:bCs/>
                <w:sz w:val="18"/>
                <w:szCs w:val="18"/>
              </w:rPr>
              <w:instrText xml:space="preserve"> NUMPAGES  </w:instrText>
            </w:r>
            <w:r w:rsidRPr="002326C7">
              <w:rPr>
                <w:b/>
                <w:bCs/>
                <w:sz w:val="18"/>
                <w:szCs w:val="18"/>
              </w:rPr>
              <w:fldChar w:fldCharType="separate"/>
            </w:r>
            <w:r w:rsidR="009D65E0">
              <w:rPr>
                <w:b/>
                <w:bCs/>
                <w:noProof/>
                <w:sz w:val="18"/>
                <w:szCs w:val="18"/>
              </w:rPr>
              <w:t>3</w:t>
            </w:r>
            <w:r w:rsidRPr="002326C7">
              <w:rPr>
                <w:b/>
                <w:bCs/>
                <w:sz w:val="18"/>
                <w:szCs w:val="18"/>
              </w:rPr>
              <w:fldChar w:fldCharType="end"/>
            </w:r>
          </w:p>
        </w:sdtContent>
      </w:sdt>
    </w:sdtContent>
  </w:sdt>
  <w:p w14:paraId="2091DD1C" w14:textId="77777777" w:rsidR="002326C7" w:rsidRDefault="0023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50279" w14:textId="77777777" w:rsidR="00813E01" w:rsidRDefault="00813E01" w:rsidP="002326C7">
      <w:pPr>
        <w:spacing w:after="0" w:line="240" w:lineRule="auto"/>
      </w:pPr>
      <w:r>
        <w:separator/>
      </w:r>
    </w:p>
  </w:footnote>
  <w:footnote w:type="continuationSeparator" w:id="0">
    <w:p w14:paraId="186AECDC" w14:textId="77777777" w:rsidR="00813E01" w:rsidRDefault="00813E01" w:rsidP="002326C7">
      <w:pPr>
        <w:spacing w:after="0" w:line="240" w:lineRule="auto"/>
      </w:pPr>
      <w:r>
        <w:continuationSeparator/>
      </w:r>
    </w:p>
  </w:footnote>
  <w:footnote w:id="1">
    <w:p w14:paraId="7A4EE067" w14:textId="77777777" w:rsidR="0042716E" w:rsidRDefault="0042716E">
      <w:pPr>
        <w:pStyle w:val="FootnoteText"/>
      </w:pPr>
      <w:r>
        <w:rPr>
          <w:rStyle w:val="FootnoteReference"/>
        </w:rPr>
        <w:footnoteRef/>
      </w:r>
      <w:r>
        <w:t xml:space="preserve"> </w:t>
      </w:r>
      <w:hyperlink r:id="rId1" w:anchor="46.101" w:history="1">
        <w:r w:rsidRPr="001A2D10">
          <w:rPr>
            <w:rStyle w:val="Hyperlink"/>
          </w:rPr>
          <w:t>http://www.hhs.gov/ohrp/regulations-and-policy/regulations/45-cfr-46/#46.101</w:t>
        </w:r>
      </w:hyperlink>
    </w:p>
    <w:p w14:paraId="3F03B7B8" w14:textId="77777777" w:rsidR="0042716E" w:rsidRDefault="0042716E">
      <w:pPr>
        <w:pStyle w:val="FootnoteText"/>
      </w:pPr>
    </w:p>
  </w:footnote>
  <w:footnote w:id="2">
    <w:p w14:paraId="0CABE1B1" w14:textId="77777777" w:rsidR="00EC517A" w:rsidRDefault="00EC517A">
      <w:pPr>
        <w:pStyle w:val="FootnoteText"/>
      </w:pPr>
      <w:r>
        <w:rPr>
          <w:rStyle w:val="FootnoteReference"/>
        </w:rPr>
        <w:footnoteRef/>
      </w:r>
      <w:r>
        <w:t xml:space="preserve"> </w:t>
      </w:r>
      <w:r>
        <w:rPr>
          <w:i/>
          <w:iCs/>
        </w:rPr>
        <w:t>Minimal risk</w:t>
      </w:r>
      <w: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588FE4"/>
    <w:lvl w:ilvl="0">
      <w:numFmt w:val="bullet"/>
      <w:lvlText w:val="*"/>
      <w:lvlJc w:val="left"/>
    </w:lvl>
  </w:abstractNum>
  <w:abstractNum w:abstractNumId="1" w15:restartNumberingAfterBreak="0">
    <w:nsid w:val="061A3D87"/>
    <w:multiLevelType w:val="multilevel"/>
    <w:tmpl w:val="4C4C809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0F323162"/>
    <w:multiLevelType w:val="hybridMultilevel"/>
    <w:tmpl w:val="6BE4AB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82BDC"/>
    <w:multiLevelType w:val="multilevel"/>
    <w:tmpl w:val="83A4AA1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1BBB1266"/>
    <w:multiLevelType w:val="multilevel"/>
    <w:tmpl w:val="0E5E85F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1EEE5612"/>
    <w:multiLevelType w:val="multilevel"/>
    <w:tmpl w:val="7A9E8AFE"/>
    <w:lvl w:ilvl="0">
      <w:start w:val="1"/>
      <w:numFmt w:val="lowerRoman"/>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21420736"/>
    <w:multiLevelType w:val="multilevel"/>
    <w:tmpl w:val="3306FDD2"/>
    <w:lvl w:ilvl="0">
      <w:start w:val="1"/>
      <w:numFmt w:val="lowerRoman"/>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15:restartNumberingAfterBreak="0">
    <w:nsid w:val="25CF2CEA"/>
    <w:multiLevelType w:val="hybridMultilevel"/>
    <w:tmpl w:val="9C3C5504"/>
    <w:lvl w:ilvl="0" w:tplc="FCF4C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D78DD"/>
    <w:multiLevelType w:val="hybridMultilevel"/>
    <w:tmpl w:val="1C1A61E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52FA8"/>
    <w:multiLevelType w:val="multilevel"/>
    <w:tmpl w:val="18304AE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EC2303"/>
    <w:multiLevelType w:val="hybridMultilevel"/>
    <w:tmpl w:val="DAAA6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37A79"/>
    <w:multiLevelType w:val="multilevel"/>
    <w:tmpl w:val="9BA8F06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901D9"/>
    <w:multiLevelType w:val="multilevel"/>
    <w:tmpl w:val="FBE4F8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FC6DA8"/>
    <w:multiLevelType w:val="multilevel"/>
    <w:tmpl w:val="2DCE8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81E4FEB"/>
    <w:multiLevelType w:val="multilevel"/>
    <w:tmpl w:val="509262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5507FBD"/>
    <w:multiLevelType w:val="multilevel"/>
    <w:tmpl w:val="82B0FE8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6" w15:restartNumberingAfterBreak="0">
    <w:nsid w:val="6CCE7A3F"/>
    <w:multiLevelType w:val="multilevel"/>
    <w:tmpl w:val="3306FDD2"/>
    <w:lvl w:ilvl="0">
      <w:start w:val="1"/>
      <w:numFmt w:val="lowerRoman"/>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15:restartNumberingAfterBreak="0">
    <w:nsid w:val="761D7A4C"/>
    <w:multiLevelType w:val="multilevel"/>
    <w:tmpl w:val="1A22D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4272E2"/>
    <w:multiLevelType w:val="multilevel"/>
    <w:tmpl w:val="3306FDD2"/>
    <w:lvl w:ilvl="0">
      <w:start w:val="1"/>
      <w:numFmt w:val="lowerRoman"/>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5"/>
  </w:num>
  <w:num w:numId="4">
    <w:abstractNumId w:val="17"/>
  </w:num>
  <w:num w:numId="5">
    <w:abstractNumId w:val="15"/>
  </w:num>
  <w:num w:numId="6">
    <w:abstractNumId w:val="12"/>
  </w:num>
  <w:num w:numId="7">
    <w:abstractNumId w:val="3"/>
  </w:num>
  <w:num w:numId="8">
    <w:abstractNumId w:val="9"/>
  </w:num>
  <w:num w:numId="9">
    <w:abstractNumId w:val="10"/>
  </w:num>
  <w:num w:numId="10">
    <w:abstractNumId w:val="18"/>
  </w:num>
  <w:num w:numId="11">
    <w:abstractNumId w:val="16"/>
  </w:num>
  <w:num w:numId="12">
    <w:abstractNumId w:val="6"/>
  </w:num>
  <w:num w:numId="13">
    <w:abstractNumId w:val="11"/>
  </w:num>
  <w:num w:numId="14">
    <w:abstractNumId w:val="13"/>
  </w:num>
  <w:num w:numId="15">
    <w:abstractNumId w:val="2"/>
  </w:num>
  <w:num w:numId="16">
    <w:abstractNumId w:val="8"/>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C7"/>
    <w:rsid w:val="000873DF"/>
    <w:rsid w:val="00133CD0"/>
    <w:rsid w:val="0016096F"/>
    <w:rsid w:val="001A1BB9"/>
    <w:rsid w:val="001C3E3D"/>
    <w:rsid w:val="001D6790"/>
    <w:rsid w:val="00211F06"/>
    <w:rsid w:val="00232571"/>
    <w:rsid w:val="002326C7"/>
    <w:rsid w:val="00273720"/>
    <w:rsid w:val="0030733F"/>
    <w:rsid w:val="003B00C5"/>
    <w:rsid w:val="0042716E"/>
    <w:rsid w:val="005D046B"/>
    <w:rsid w:val="005F27D7"/>
    <w:rsid w:val="00612E3A"/>
    <w:rsid w:val="006414ED"/>
    <w:rsid w:val="006C5FE9"/>
    <w:rsid w:val="006E372F"/>
    <w:rsid w:val="00813E01"/>
    <w:rsid w:val="008457F2"/>
    <w:rsid w:val="00853A10"/>
    <w:rsid w:val="0089756D"/>
    <w:rsid w:val="008B7317"/>
    <w:rsid w:val="008F54ED"/>
    <w:rsid w:val="009446AC"/>
    <w:rsid w:val="0096568A"/>
    <w:rsid w:val="009D0306"/>
    <w:rsid w:val="009D65E0"/>
    <w:rsid w:val="009D7711"/>
    <w:rsid w:val="00AD13AD"/>
    <w:rsid w:val="00B7636A"/>
    <w:rsid w:val="00BD434C"/>
    <w:rsid w:val="00BF711D"/>
    <w:rsid w:val="00BF7B88"/>
    <w:rsid w:val="00C80DC9"/>
    <w:rsid w:val="00CE1AEF"/>
    <w:rsid w:val="00CE7A45"/>
    <w:rsid w:val="00D50872"/>
    <w:rsid w:val="00DA14C3"/>
    <w:rsid w:val="00DF359C"/>
    <w:rsid w:val="00EC517A"/>
    <w:rsid w:val="00ED3A80"/>
    <w:rsid w:val="00F7450B"/>
    <w:rsid w:val="00FC34F3"/>
    <w:rsid w:val="00FD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D69CD"/>
  <w15:chartTrackingRefBased/>
  <w15:docId w15:val="{EFB0850B-0FF3-4029-A483-DF3C97C9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6C7"/>
    <w:pPr>
      <w:spacing w:after="0" w:line="240" w:lineRule="auto"/>
    </w:pPr>
  </w:style>
  <w:style w:type="paragraph" w:styleId="Header">
    <w:name w:val="header"/>
    <w:basedOn w:val="Normal"/>
    <w:link w:val="HeaderChar"/>
    <w:uiPriority w:val="99"/>
    <w:unhideWhenUsed/>
    <w:rsid w:val="0023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C7"/>
  </w:style>
  <w:style w:type="paragraph" w:styleId="Footer">
    <w:name w:val="footer"/>
    <w:basedOn w:val="Normal"/>
    <w:link w:val="FooterChar"/>
    <w:uiPriority w:val="99"/>
    <w:unhideWhenUsed/>
    <w:rsid w:val="0023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C7"/>
  </w:style>
  <w:style w:type="character" w:styleId="Hyperlink">
    <w:name w:val="Hyperlink"/>
    <w:rsid w:val="00853A10"/>
    <w:rPr>
      <w:color w:val="0000FF"/>
      <w:u w:val="single"/>
    </w:rPr>
  </w:style>
  <w:style w:type="paragraph" w:styleId="BodyText2">
    <w:name w:val="Body Text 2"/>
    <w:basedOn w:val="Normal"/>
    <w:link w:val="BodyText2Char"/>
    <w:rsid w:val="00853A10"/>
    <w:pPr>
      <w:widowControl w:val="0"/>
      <w:spacing w:after="0" w:line="240" w:lineRule="auto"/>
    </w:pPr>
    <w:rPr>
      <w:rFonts w:ascii="Times New Roman" w:eastAsia="Times New Roman" w:hAnsi="Times New Roman" w:cs="Times New Roman"/>
      <w:bCs/>
      <w:i/>
      <w:iCs/>
      <w:snapToGrid w:val="0"/>
      <w:sz w:val="24"/>
      <w:szCs w:val="20"/>
    </w:rPr>
  </w:style>
  <w:style w:type="character" w:customStyle="1" w:styleId="BodyText2Char">
    <w:name w:val="Body Text 2 Char"/>
    <w:basedOn w:val="DefaultParagraphFont"/>
    <w:link w:val="BodyText2"/>
    <w:rsid w:val="00853A10"/>
    <w:rPr>
      <w:rFonts w:ascii="Times New Roman" w:eastAsia="Times New Roman" w:hAnsi="Times New Roman" w:cs="Times New Roman"/>
      <w:bCs/>
      <w:i/>
      <w:iCs/>
      <w:snapToGrid w:val="0"/>
      <w:sz w:val="24"/>
      <w:szCs w:val="20"/>
    </w:rPr>
  </w:style>
  <w:style w:type="paragraph" w:styleId="FootnoteText">
    <w:name w:val="footnote text"/>
    <w:basedOn w:val="Normal"/>
    <w:link w:val="FootnoteTextChar"/>
    <w:uiPriority w:val="99"/>
    <w:semiHidden/>
    <w:unhideWhenUsed/>
    <w:rsid w:val="00EC5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17A"/>
    <w:rPr>
      <w:sz w:val="20"/>
      <w:szCs w:val="20"/>
    </w:rPr>
  </w:style>
  <w:style w:type="character" w:styleId="FootnoteReference">
    <w:name w:val="footnote reference"/>
    <w:basedOn w:val="DefaultParagraphFont"/>
    <w:uiPriority w:val="99"/>
    <w:semiHidden/>
    <w:unhideWhenUsed/>
    <w:rsid w:val="00EC5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hrp.nihtrai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wuprovost@nebrwesleyan.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regulations-and-policy/regulations/45-cfr-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2" ma:contentTypeDescription="Create a new document." ma:contentTypeScope="" ma:versionID="38fb51bd119a8f5faacbecb6448d71bc">
  <xsd:schema xmlns:xsd="http://www.w3.org/2001/XMLSchema" xmlns:xs="http://www.w3.org/2001/XMLSchema" xmlns:p="http://schemas.microsoft.com/office/2006/metadata/properties" xmlns:ns2="2b5c41d3-585e-4713-b139-9c28d76ad429" targetNamespace="http://schemas.microsoft.com/office/2006/metadata/properties" ma:root="true" ma:fieldsID="ceee9d60c4b2275d21e695c59b6c3871" ns2:_="">
    <xsd:import namespace="2b5c41d3-585e-4713-b139-9c28d76ad4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4A2D-2543-4199-B6D8-6C451E0F464B}"/>
</file>

<file path=customXml/itemProps2.xml><?xml version="1.0" encoding="utf-8"?>
<ds:datastoreItem xmlns:ds="http://schemas.openxmlformats.org/officeDocument/2006/customXml" ds:itemID="{5CBDBD33-70CA-4187-A746-6DC70FB59CD6}">
  <ds:schemaRefs>
    <ds:schemaRef ds:uri="http://schemas.microsoft.com/sharepoint/v3/contenttype/forms"/>
  </ds:schemaRefs>
</ds:datastoreItem>
</file>

<file path=customXml/itemProps3.xml><?xml version="1.0" encoding="utf-8"?>
<ds:datastoreItem xmlns:ds="http://schemas.openxmlformats.org/officeDocument/2006/customXml" ds:itemID="{13D40FF5-0552-45C8-81D5-475E56BF7541}">
  <ds:schemaRefs>
    <ds:schemaRef ds:uri="http://schemas.microsoft.com/office/2006/documentManagement/types"/>
    <ds:schemaRef ds:uri="http://purl.org/dc/terms/"/>
    <ds:schemaRef ds:uri="d53e0eaf-b4c9-49bd-96b4-099cb6e50bae"/>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cee10534-b806-4459-af8d-66cad68911d6"/>
    <ds:schemaRef ds:uri="http://schemas.microsoft.com/office/2006/metadata/properties"/>
  </ds:schemaRefs>
</ds:datastoreItem>
</file>

<file path=customXml/itemProps4.xml><?xml version="1.0" encoding="utf-8"?>
<ds:datastoreItem xmlns:ds="http://schemas.openxmlformats.org/officeDocument/2006/customXml" ds:itemID="{6A8D5BA3-0A79-41CB-A68C-69EAB440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Gilbreth</dc:creator>
  <cp:keywords/>
  <dc:description/>
  <cp:lastModifiedBy>Stephanie Plummer</cp:lastModifiedBy>
  <cp:revision>2</cp:revision>
  <dcterms:created xsi:type="dcterms:W3CDTF">2018-09-20T16:51:00Z</dcterms:created>
  <dcterms:modified xsi:type="dcterms:W3CDTF">2018-09-20T16:51:00Z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ies>
</file>